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BE7E9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u w:val="none"/>
          <w:lang w:eastAsia="zh-CN"/>
        </w:rPr>
      </w:pPr>
      <w:bookmarkStart w:id="0" w:name="_GoBack"/>
      <w:r>
        <w:rPr>
          <w:rFonts w:hint="default" w:ascii="Times New Roman" w:hAnsi="Times New Roman" w:eastAsia="方正小标宋简体" w:cs="Times New Roman"/>
          <w:color w:val="auto"/>
          <w:sz w:val="44"/>
          <w:szCs w:val="44"/>
          <w:highlight w:val="none"/>
          <w:u w:val="none"/>
          <w:lang w:val="en-US" w:eastAsia="zh-CN"/>
        </w:rPr>
        <w:t>独山子</w:t>
      </w:r>
      <w:r>
        <w:rPr>
          <w:rFonts w:hint="default" w:ascii="Times New Roman" w:hAnsi="Times New Roman" w:eastAsia="方正小标宋简体" w:cs="Times New Roman"/>
          <w:color w:val="auto"/>
          <w:sz w:val="44"/>
          <w:szCs w:val="44"/>
          <w:highlight w:val="none"/>
          <w:u w:val="none"/>
        </w:rPr>
        <w:t>区</w:t>
      </w:r>
      <w:r>
        <w:rPr>
          <w:rFonts w:hint="default" w:ascii="Times New Roman" w:hAnsi="Times New Roman" w:eastAsia="方正小标宋简体" w:cs="Times New Roman"/>
          <w:color w:val="auto"/>
          <w:sz w:val="44"/>
          <w:szCs w:val="44"/>
          <w:highlight w:val="none"/>
          <w:u w:val="none"/>
          <w:lang w:val="en-US" w:eastAsia="zh-CN"/>
        </w:rPr>
        <w:t>财政局（国资委）</w:t>
      </w:r>
      <w:r>
        <w:rPr>
          <w:rFonts w:hint="default" w:ascii="Times New Roman" w:hAnsi="Times New Roman" w:eastAsia="方正小标宋简体" w:cs="Times New Roman"/>
          <w:color w:val="auto"/>
          <w:sz w:val="44"/>
          <w:szCs w:val="44"/>
          <w:highlight w:val="none"/>
          <w:u w:val="none"/>
          <w:lang w:eastAsia="zh-CN"/>
        </w:rPr>
        <w:t>监管企业</w:t>
      </w:r>
    </w:p>
    <w:p w14:paraId="3DDC48A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auto"/>
          <w:sz w:val="44"/>
          <w:szCs w:val="44"/>
          <w:highlight w:val="none"/>
          <w:u w:val="none"/>
          <w:lang w:val="en-US" w:eastAsia="zh-CN"/>
        </w:rPr>
      </w:pPr>
      <w:r>
        <w:rPr>
          <w:rFonts w:hint="default" w:ascii="Times New Roman" w:hAnsi="Times New Roman" w:eastAsia="方正小标宋简体" w:cs="Times New Roman"/>
          <w:color w:val="auto"/>
          <w:sz w:val="44"/>
          <w:szCs w:val="44"/>
          <w:highlight w:val="none"/>
          <w:u w:val="none"/>
          <w:lang w:val="en-US" w:eastAsia="zh-CN"/>
        </w:rPr>
        <w:t>投融资及担保监督管理暂行</w:t>
      </w:r>
      <w:r>
        <w:rPr>
          <w:rFonts w:hint="eastAsia" w:ascii="Times New Roman" w:hAnsi="Times New Roman" w:eastAsia="方正小标宋简体" w:cs="Times New Roman"/>
          <w:color w:val="auto"/>
          <w:sz w:val="44"/>
          <w:szCs w:val="44"/>
          <w:highlight w:val="none"/>
          <w:u w:val="none"/>
          <w:lang w:val="en-US" w:eastAsia="zh-CN"/>
        </w:rPr>
        <w:t>规定</w:t>
      </w:r>
    </w:p>
    <w:p w14:paraId="77691FA6">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color w:val="auto"/>
          <w:sz w:val="32"/>
          <w:szCs w:val="32"/>
          <w:highlight w:val="none"/>
          <w:u w:val="none"/>
        </w:rPr>
      </w:pPr>
    </w:p>
    <w:p w14:paraId="16917EF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第一章 总 则</w:t>
      </w:r>
    </w:p>
    <w:p w14:paraId="24795C1D">
      <w:pPr>
        <w:keepNext w:val="0"/>
        <w:keepLines w:val="0"/>
        <w:pageBreakBefore w:val="0"/>
        <w:widowControl/>
        <w:suppressLineNumbers w:val="0"/>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第一条</w:t>
      </w:r>
      <w:r>
        <w:rPr>
          <w:rFonts w:hint="default" w:ascii="Times New Roman" w:hAnsi="Times New Roman" w:eastAsia="仿宋_GB2312" w:cs="Times New Roman"/>
          <w:b w:val="0"/>
          <w:bCs w:val="0"/>
          <w:color w:val="auto"/>
          <w:kern w:val="0"/>
          <w:sz w:val="32"/>
          <w:szCs w:val="32"/>
          <w:highlight w:val="none"/>
          <w:u w:val="none"/>
          <w:lang w:val="en-US" w:eastAsia="zh-CN"/>
        </w:rPr>
        <w:t xml:space="preserve">  为依法履行出资人职责，建立健全以管资本为主的国有资产监管体制，推动监管企业规范投资、融资（以下简称投融资）决策和对外担保行为，防范经营风险，加快国有经济布局优化和结构调整，聚焦主责主业，提升国有企业核心竞争力、增强核心功能，根据《中华人民共和国公司法》《中华人民共和国企业国有资产法》《新疆维吾尔自治区国资委监管企业投资监督管理办法》（新国资发〔2023〕480号）《新疆维吾尔自治区人民政府国有资产监督管理委员会监管企业担保管理暂行办法》（新国资产权〔2014〕232号）《克拉玛依市国资委监管企业投融资及对外担保监督管理办法》（克国资</w:t>
      </w:r>
      <w:r>
        <w:rPr>
          <w:rFonts w:hint="default" w:ascii="Times New Roman" w:hAnsi="Times New Roman" w:eastAsia="仿宋_GB2312" w:cs="Times New Roman"/>
          <w:color w:val="auto"/>
          <w:kern w:val="0"/>
          <w:sz w:val="31"/>
          <w:szCs w:val="31"/>
          <w:highlight w:val="none"/>
          <w:lang w:val="en-US" w:eastAsia="zh-CN" w:bidi="ar"/>
        </w:rPr>
        <w:t>发〔</w:t>
      </w:r>
      <w:r>
        <w:rPr>
          <w:rFonts w:hint="default" w:ascii="Times New Roman" w:hAnsi="Times New Roman" w:eastAsia="仿宋_GB2312" w:cs="Times New Roman"/>
          <w:b w:val="0"/>
          <w:bCs w:val="0"/>
          <w:color w:val="auto"/>
          <w:kern w:val="0"/>
          <w:sz w:val="32"/>
          <w:szCs w:val="32"/>
          <w:highlight w:val="none"/>
          <w:u w:val="none"/>
          <w:lang w:val="en-US" w:eastAsia="zh-CN"/>
        </w:rPr>
        <w:t>2025</w:t>
      </w:r>
      <w:r>
        <w:rPr>
          <w:rFonts w:hint="default" w:ascii="Times New Roman" w:hAnsi="Times New Roman" w:eastAsia="仿宋_GB2312" w:cs="Times New Roman"/>
          <w:color w:val="auto"/>
          <w:kern w:val="0"/>
          <w:sz w:val="31"/>
          <w:szCs w:val="31"/>
          <w:highlight w:val="none"/>
          <w:lang w:val="en-US" w:eastAsia="zh-CN" w:bidi="ar"/>
        </w:rPr>
        <w:t>〕</w:t>
      </w:r>
      <w:r>
        <w:rPr>
          <w:rFonts w:hint="default" w:ascii="Times New Roman" w:hAnsi="Times New Roman" w:eastAsia="仿宋_GB2312" w:cs="Times New Roman"/>
          <w:b w:val="0"/>
          <w:bCs w:val="0"/>
          <w:color w:val="auto"/>
          <w:kern w:val="0"/>
          <w:sz w:val="32"/>
          <w:szCs w:val="32"/>
          <w:highlight w:val="none"/>
          <w:u w:val="none"/>
          <w:lang w:val="en-US" w:eastAsia="zh-CN"/>
        </w:rPr>
        <w:t>36</w:t>
      </w:r>
      <w:r>
        <w:rPr>
          <w:rFonts w:hint="default" w:ascii="Times New Roman" w:hAnsi="Times New Roman" w:eastAsia="仿宋_GB2312" w:cs="Times New Roman"/>
          <w:color w:val="auto"/>
          <w:kern w:val="0"/>
          <w:sz w:val="31"/>
          <w:szCs w:val="31"/>
          <w:highlight w:val="none"/>
          <w:lang w:val="en-US" w:eastAsia="zh-CN" w:bidi="ar"/>
        </w:rPr>
        <w:t>号）</w:t>
      </w:r>
      <w:r>
        <w:rPr>
          <w:rFonts w:hint="default" w:ascii="Times New Roman" w:hAnsi="Times New Roman" w:eastAsia="仿宋_GB2312" w:cs="Times New Roman"/>
          <w:b w:val="0"/>
          <w:bCs w:val="0"/>
          <w:color w:val="auto"/>
          <w:kern w:val="0"/>
          <w:sz w:val="32"/>
          <w:szCs w:val="32"/>
          <w:highlight w:val="none"/>
          <w:u w:val="none"/>
          <w:lang w:val="en-US" w:eastAsia="zh-CN"/>
        </w:rPr>
        <w:t>等有关法律法规和政策文件，结合独山子区实际，制定本</w:t>
      </w:r>
      <w:r>
        <w:rPr>
          <w:rFonts w:hint="eastAsia" w:ascii="Times New Roman" w:hAnsi="Times New Roman" w:eastAsia="仿宋_GB2312" w:cs="Times New Roman"/>
          <w:b w:val="0"/>
          <w:bCs w:val="0"/>
          <w:color w:val="auto"/>
          <w:kern w:val="0"/>
          <w:sz w:val="32"/>
          <w:szCs w:val="32"/>
          <w:highlight w:val="none"/>
          <w:u w:val="none"/>
          <w:lang w:val="en-US" w:eastAsia="zh-CN"/>
        </w:rPr>
        <w:t>规定</w:t>
      </w:r>
      <w:r>
        <w:rPr>
          <w:rFonts w:hint="default" w:ascii="Times New Roman" w:hAnsi="Times New Roman" w:eastAsia="仿宋_GB2312" w:cs="Times New Roman"/>
          <w:b w:val="0"/>
          <w:bCs w:val="0"/>
          <w:color w:val="auto"/>
          <w:kern w:val="0"/>
          <w:sz w:val="32"/>
          <w:szCs w:val="32"/>
          <w:highlight w:val="none"/>
          <w:u w:val="none"/>
          <w:lang w:val="en-US" w:eastAsia="zh-CN"/>
        </w:rPr>
        <w:t>。</w:t>
      </w:r>
    </w:p>
    <w:p w14:paraId="2DB7E774">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第二条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本</w:t>
      </w:r>
      <w:r>
        <w:rPr>
          <w:rFonts w:hint="eastAsia" w:ascii="Times New Roman" w:hAnsi="Times New Roman" w:eastAsia="仿宋_GB2312" w:cs="Times New Roman"/>
          <w:b w:val="0"/>
          <w:bCs w:val="0"/>
          <w:color w:val="auto"/>
          <w:kern w:val="0"/>
          <w:sz w:val="32"/>
          <w:szCs w:val="32"/>
          <w:highlight w:val="none"/>
          <w:u w:val="none"/>
          <w:lang w:val="en-US" w:eastAsia="zh-CN"/>
        </w:rPr>
        <w:t>规定</w:t>
      </w:r>
      <w:r>
        <w:rPr>
          <w:rFonts w:hint="default" w:ascii="Times New Roman" w:hAnsi="Times New Roman" w:eastAsia="仿宋_GB2312" w:cs="Times New Roman"/>
          <w:b w:val="0"/>
          <w:bCs w:val="0"/>
          <w:color w:val="auto"/>
          <w:kern w:val="0"/>
          <w:sz w:val="32"/>
          <w:szCs w:val="32"/>
          <w:highlight w:val="none"/>
          <w:u w:val="none"/>
          <w:lang w:val="en-US" w:eastAsia="zh-CN"/>
        </w:rPr>
        <w:t>所称监管企业，是指克拉玛依市独山子区财政局（克拉玛依市独山子区国有资产监督管理委员会）（以下简称“区财政局（国资委）”）代表独山子区人民政府履行出资人职责的全资、控股和实际控制的各级国有企业</w:t>
      </w:r>
      <w:r>
        <w:rPr>
          <w:rFonts w:hint="default" w:ascii="Times New Roman" w:hAnsi="Times New Roman" w:eastAsia="仿宋_GB2312" w:cs="Times New Roman"/>
          <w:b w:val="0"/>
          <w:bCs w:val="0"/>
          <w:color w:val="auto"/>
          <w:kern w:val="0"/>
          <w:sz w:val="32"/>
          <w:szCs w:val="32"/>
          <w:highlight w:val="none"/>
          <w:u w:val="none"/>
          <w:lang w:val="en-US" w:eastAsia="zh-CN"/>
        </w:rPr>
        <w:t>（不含主营业务为担保业务的监管企业）。</w:t>
      </w:r>
    </w:p>
    <w:p w14:paraId="34D8B3F2">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第三条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区财政局（国资委）依法对监管企业投融资及担保行为进行监督管理，按照以管资本为主的原则履行出资人职责</w:t>
      </w:r>
      <w:r>
        <w:rPr>
          <w:rFonts w:hint="eastAsia" w:ascii="Times New Roman" w:hAnsi="Times New Roman" w:eastAsia="仿宋_GB2312" w:cs="Times New Roman"/>
          <w:b w:val="0"/>
          <w:bCs w:val="0"/>
          <w:color w:val="auto"/>
          <w:kern w:val="0"/>
          <w:sz w:val="32"/>
          <w:szCs w:val="32"/>
          <w:highlight w:val="none"/>
          <w:u w:val="none"/>
          <w:lang w:val="en-US" w:eastAsia="zh-CN"/>
        </w:rPr>
        <w:t>，</w:t>
      </w:r>
    </w:p>
    <w:p w14:paraId="716B9EB3">
      <w:pPr>
        <w:keepNext w:val="0"/>
        <w:keepLines w:val="0"/>
        <w:pageBreakBefore w:val="0"/>
        <w:widowControl/>
        <w:suppressLineNumbers w:val="0"/>
        <w:shd w:val="clea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主要职责是：</w:t>
      </w:r>
    </w:p>
    <w:p w14:paraId="639C236C">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（一）把握监管企业国有资本投资方向,支持企业依据发展战略规划、围绕主业进行投资</w:t>
      </w:r>
      <w:r>
        <w:rPr>
          <w:rFonts w:hint="eastAsia" w:ascii="Times New Roman" w:hAnsi="Times New Roman"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引导监管企业合理确定融资方式和规模;督促监管企业防控担保风险；</w:t>
      </w:r>
    </w:p>
    <w:p w14:paraId="395DB867">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（二）督促监管企业依据战略规划编制执行年度投资、融资和担保计划并与财务预算相衔接；</w:t>
      </w:r>
    </w:p>
    <w:p w14:paraId="6745F387">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（三）指导监管企业建立健全投融资、担保决策程序与管理制度；</w:t>
      </w:r>
    </w:p>
    <w:p w14:paraId="0D2CC7C1">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（四）对监管企业投融资项目和担保事项进行审核备案和批准管理；</w:t>
      </w:r>
    </w:p>
    <w:p w14:paraId="03E9406C">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（五）监督检查监管企业投资、融资和担保管理制度执行情况；</w:t>
      </w:r>
    </w:p>
    <w:p w14:paraId="72096338">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（六）对监管企业重大投资项目和担保事项进行检查和评价；</w:t>
      </w:r>
    </w:p>
    <w:p w14:paraId="58E215A4">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（七）履行法律法规及相关政策规定的其他法定职责。</w:t>
      </w:r>
    </w:p>
    <w:p w14:paraId="0FCCC739">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第四条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监管企业是投融资及担保的决策主体、执行主体、责任主体，主要职责是：</w:t>
      </w:r>
    </w:p>
    <w:p w14:paraId="26262F4B">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（一）依据功能定位和发展战略规划,合理确定投资方向、策略和标准</w:t>
      </w:r>
      <w:r>
        <w:rPr>
          <w:rFonts w:hint="eastAsia" w:ascii="Times New Roman" w:hAnsi="Times New Roman"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合理确定融资、担保方式和规模</w:t>
      </w:r>
      <w:r>
        <w:rPr>
          <w:rFonts w:hint="eastAsia" w:ascii="Times New Roman" w:hAnsi="Times New Roman"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有效防控风险；严格按照本</w:t>
      </w:r>
      <w:r>
        <w:rPr>
          <w:rFonts w:hint="eastAsia" w:ascii="Times New Roman" w:hAnsi="Times New Roman" w:eastAsia="仿宋_GB2312" w:cs="Times New Roman"/>
          <w:b w:val="0"/>
          <w:bCs w:val="0"/>
          <w:color w:val="auto"/>
          <w:kern w:val="0"/>
          <w:sz w:val="32"/>
          <w:szCs w:val="32"/>
          <w:highlight w:val="none"/>
          <w:u w:val="none"/>
          <w:lang w:val="en-US" w:eastAsia="zh-CN"/>
        </w:rPr>
        <w:t>规定制定</w:t>
      </w:r>
      <w:r>
        <w:rPr>
          <w:rFonts w:hint="default" w:ascii="Times New Roman" w:hAnsi="Times New Roman" w:eastAsia="仿宋_GB2312" w:cs="Times New Roman"/>
          <w:b w:val="0"/>
          <w:bCs w:val="0"/>
          <w:color w:val="auto"/>
          <w:kern w:val="0"/>
          <w:sz w:val="32"/>
          <w:szCs w:val="32"/>
          <w:highlight w:val="none"/>
          <w:u w:val="none"/>
          <w:lang w:val="en-US" w:eastAsia="zh-CN"/>
        </w:rPr>
        <w:t>的程序和原则开展投融资及担保；</w:t>
      </w:r>
    </w:p>
    <w:p w14:paraId="2DE98DDE">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（二）建立健全投融资及担保管理、责任追究、风险防范预案和定量管理指标等制度，完善科学决策机制及工作流程，并报区财政局（国资委）备案；</w:t>
      </w:r>
    </w:p>
    <w:p w14:paraId="15139DEC">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（三）负责制定和执行投融资及担保计划、方案</w:t>
      </w:r>
      <w:r>
        <w:rPr>
          <w:rFonts w:hint="eastAsia" w:ascii="Times New Roman" w:hAnsi="Times New Roman"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强化投资、融资、担保尽职调查、可行性研究和审查论证等前期工作</w:t>
      </w:r>
      <w:r>
        <w:rPr>
          <w:rFonts w:hint="eastAsia" w:ascii="Times New Roman" w:hAnsi="Times New Roman"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审慎决策；组织实施投资、融资和担保项目</w:t>
      </w:r>
      <w:r>
        <w:rPr>
          <w:rFonts w:hint="eastAsia" w:ascii="Times New Roman" w:hAnsi="Times New Roman"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开展项目后评价，切实加强招投标、预决算等全流程项目管理工作</w:t>
      </w:r>
      <w:r>
        <w:rPr>
          <w:rFonts w:hint="eastAsia" w:ascii="Times New Roman" w:hAnsi="Times New Roman"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提高风险防控能力，履行信息报送和配合监督检查义务。</w:t>
      </w:r>
    </w:p>
    <w:p w14:paraId="34848533">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w:t>
      </w:r>
      <w:r>
        <w:rPr>
          <w:rFonts w:hint="eastAsia" w:ascii="Times New Roman" w:hAnsi="Times New Roman" w:eastAsia="仿宋_GB2312" w:cs="Times New Roman"/>
          <w:b w:val="0"/>
          <w:bCs w:val="0"/>
          <w:color w:val="auto"/>
          <w:kern w:val="0"/>
          <w:sz w:val="32"/>
          <w:szCs w:val="32"/>
          <w:highlight w:val="none"/>
          <w:u w:val="none"/>
          <w:lang w:val="en-US" w:eastAsia="zh-CN"/>
        </w:rPr>
        <w:t>四</w:t>
      </w:r>
      <w:r>
        <w:rPr>
          <w:rFonts w:hint="default" w:ascii="Times New Roman" w:hAnsi="Times New Roman" w:eastAsia="仿宋_GB2312" w:cs="Times New Roman"/>
          <w:b w:val="0"/>
          <w:bCs w:val="0"/>
          <w:color w:val="auto"/>
          <w:kern w:val="0"/>
          <w:sz w:val="32"/>
          <w:szCs w:val="32"/>
          <w:highlight w:val="none"/>
          <w:u w:val="none"/>
          <w:lang w:val="en-US" w:eastAsia="zh-CN"/>
        </w:rPr>
        <w:t>）建立投融资及担保基础信息台账</w:t>
      </w:r>
      <w:r>
        <w:rPr>
          <w:rFonts w:hint="eastAsia" w:ascii="Times New Roman" w:hAnsi="Times New Roman"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做好统计分析工作，</w:t>
      </w:r>
      <w:r>
        <w:rPr>
          <w:rFonts w:hint="eastAsia" w:ascii="Times New Roman" w:hAnsi="Times New Roman" w:eastAsia="仿宋_GB2312" w:cs="Times New Roman"/>
          <w:b w:val="0"/>
          <w:bCs w:val="0"/>
          <w:color w:val="auto"/>
          <w:kern w:val="0"/>
          <w:sz w:val="32"/>
          <w:szCs w:val="32"/>
          <w:highlight w:val="none"/>
          <w:u w:val="none"/>
          <w:lang w:val="en-US" w:eastAsia="zh-CN"/>
        </w:rPr>
        <w:t>定期</w:t>
      </w:r>
      <w:r>
        <w:rPr>
          <w:rFonts w:hint="default" w:ascii="Times New Roman" w:hAnsi="Times New Roman" w:eastAsia="仿宋_GB2312" w:cs="Times New Roman"/>
          <w:b w:val="0"/>
          <w:bCs w:val="0"/>
          <w:color w:val="auto"/>
          <w:kern w:val="0"/>
          <w:sz w:val="32"/>
          <w:szCs w:val="32"/>
          <w:highlight w:val="none"/>
          <w:u w:val="none"/>
          <w:lang w:val="en-US" w:eastAsia="zh-CN"/>
        </w:rPr>
        <w:t>向区财政局（国资委）报告。</w:t>
      </w:r>
    </w:p>
    <w:p w14:paraId="4739993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u w:val="none"/>
        </w:rPr>
      </w:pPr>
    </w:p>
    <w:p w14:paraId="2BED249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第二章 投资管理</w:t>
      </w:r>
    </w:p>
    <w:p w14:paraId="6905E0F4">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第五条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本</w:t>
      </w:r>
      <w:r>
        <w:rPr>
          <w:rFonts w:hint="eastAsia" w:ascii="Times New Roman" w:hAnsi="Times New Roman" w:eastAsia="仿宋_GB2312" w:cs="Times New Roman"/>
          <w:b w:val="0"/>
          <w:bCs w:val="0"/>
          <w:color w:val="auto"/>
          <w:kern w:val="0"/>
          <w:sz w:val="32"/>
          <w:szCs w:val="32"/>
          <w:highlight w:val="none"/>
          <w:u w:val="none"/>
          <w:lang w:val="en-US" w:eastAsia="zh-CN"/>
        </w:rPr>
        <w:t>规定</w:t>
      </w:r>
      <w:r>
        <w:rPr>
          <w:rFonts w:hint="default" w:ascii="Times New Roman" w:hAnsi="Times New Roman" w:eastAsia="仿宋_GB2312" w:cs="Times New Roman"/>
          <w:b w:val="0"/>
          <w:bCs w:val="0"/>
          <w:color w:val="auto"/>
          <w:kern w:val="0"/>
          <w:sz w:val="32"/>
          <w:szCs w:val="32"/>
          <w:highlight w:val="none"/>
          <w:u w:val="none"/>
          <w:lang w:val="en-US" w:eastAsia="zh-CN"/>
        </w:rPr>
        <w:t>所称投资是指监管企业市场化自主开展的固定资产投资和股权投资以及其他相关投资，其中：固定资产投资是指监管企业通过货币、实物、无形资产等出资，开展新建、改扩建、购置房屋建筑物、土地、机器设备、配套基础设施、技改工程、不动产开发等，形成企业固定资产的资本性支出（不含日常零星维修、维保支出）；股权投资是指监管企业以取得被投企业股权、控制权、分红权益为目的，新设全资</w:t>
      </w:r>
      <w:r>
        <w:rPr>
          <w:rFonts w:hint="eastAsia" w:ascii="Times New Roman" w:hAnsi="Times New Roman"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控股/参股公司、股权收购、存量企业增资、认购产业基金、债转股等权益性出资。</w:t>
      </w:r>
    </w:p>
    <w:p w14:paraId="59EE2D1A">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本</w:t>
      </w:r>
      <w:r>
        <w:rPr>
          <w:rFonts w:hint="eastAsia" w:ascii="Times New Roman" w:hAnsi="Times New Roman" w:eastAsia="仿宋_GB2312" w:cs="Times New Roman"/>
          <w:b w:val="0"/>
          <w:bCs w:val="0"/>
          <w:color w:val="auto"/>
          <w:kern w:val="0"/>
          <w:sz w:val="32"/>
          <w:szCs w:val="32"/>
          <w:highlight w:val="none"/>
          <w:u w:val="none"/>
          <w:lang w:val="en-US" w:eastAsia="zh-CN"/>
        </w:rPr>
        <w:t>规定</w:t>
      </w:r>
      <w:r>
        <w:rPr>
          <w:rFonts w:hint="default" w:ascii="Times New Roman" w:hAnsi="Times New Roman" w:eastAsia="仿宋_GB2312" w:cs="Times New Roman"/>
          <w:b w:val="0"/>
          <w:bCs w:val="0"/>
          <w:color w:val="auto"/>
          <w:kern w:val="0"/>
          <w:sz w:val="32"/>
          <w:szCs w:val="32"/>
          <w:highlight w:val="none"/>
          <w:u w:val="none"/>
          <w:lang w:val="en-US" w:eastAsia="zh-CN"/>
        </w:rPr>
        <w:t>所称年度投资计划是指监管企业于当年计划开展的新建、续建项目计划，其中：新建项目是指首次实施的、未列入以前年度投资计划的投资项目；续建项目是指以前年度已按规定完成审核备案或批准，并列入本年度投资计划继续实施的投资项目。</w:t>
      </w:r>
    </w:p>
    <w:p w14:paraId="5105DA74">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本</w:t>
      </w:r>
      <w:r>
        <w:rPr>
          <w:rFonts w:hint="eastAsia" w:ascii="Times New Roman" w:hAnsi="Times New Roman" w:eastAsia="仿宋_GB2312" w:cs="Times New Roman"/>
          <w:b w:val="0"/>
          <w:bCs w:val="0"/>
          <w:color w:val="auto"/>
          <w:kern w:val="0"/>
          <w:sz w:val="32"/>
          <w:szCs w:val="32"/>
          <w:highlight w:val="none"/>
          <w:u w:val="none"/>
          <w:lang w:val="en-US" w:eastAsia="zh-CN"/>
        </w:rPr>
        <w:t>规定</w:t>
      </w:r>
      <w:r>
        <w:rPr>
          <w:rFonts w:hint="default" w:ascii="Times New Roman" w:hAnsi="Times New Roman" w:eastAsia="仿宋_GB2312" w:cs="Times New Roman"/>
          <w:b w:val="0"/>
          <w:bCs w:val="0"/>
          <w:color w:val="auto"/>
          <w:kern w:val="0"/>
          <w:sz w:val="32"/>
          <w:szCs w:val="32"/>
          <w:highlight w:val="none"/>
          <w:u w:val="none"/>
          <w:lang w:val="en-US" w:eastAsia="zh-CN"/>
        </w:rPr>
        <w:t>所称投资金额是指单个项目的总投资金额，包括自筹资金与融资资金。</w:t>
      </w:r>
    </w:p>
    <w:p w14:paraId="185F226A">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第六条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监管企业严禁实施以下项目：</w:t>
      </w:r>
    </w:p>
    <w:p w14:paraId="575239B6">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（一）不符合国家、自治区、克拉玛依市、独山子区相关法规和政策的投资项目；</w:t>
      </w:r>
    </w:p>
    <w:p w14:paraId="2B5ED65D">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（二）不符合经区财政局（国资委）审核的企业发展战略规划的投资项目；</w:t>
      </w:r>
    </w:p>
    <w:p w14:paraId="0B6D82A7">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（三）不符合企业投资决策程序和管理制度的投资项目；</w:t>
      </w:r>
    </w:p>
    <w:p w14:paraId="45BFBC12">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（四）未明确投资、融资、管理、退出方式及相关责任人的投资项目；</w:t>
      </w:r>
    </w:p>
    <w:p w14:paraId="12606C65">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（五）投资预期财务内部收益率低于最近一期储蓄式5年期国债利率的商业性投资项目；</w:t>
      </w:r>
    </w:p>
    <w:p w14:paraId="57CDB39D">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（六）涉及产权关系不明晰或者存在重大或有负债风险企业的投资项目；</w:t>
      </w:r>
    </w:p>
    <w:p w14:paraId="281E9736">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（七）高风险金融及其衍生品项目投资，包括但不限于以套利为目的的二级市场买卖股票、债券、基金等，期货、期权、外汇买卖及组合产品等，金融杠杆业务投资等。</w:t>
      </w:r>
    </w:p>
    <w:p w14:paraId="6EEE92C5">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严禁通过项目拆分等方式规避监管。</w:t>
      </w:r>
    </w:p>
    <w:p w14:paraId="2BA574E0">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第七条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实行年度投资计划审核备案或批准管理。监管企业应当按照本企业发展战略和规划、主业范围等要求，结合年度财务预算，于当年12月1日前将履行完内部决策程序的次年度500万元以下的年度投资计划报区财政局（国资委）审核备案；500万元及以上的年度投资计划报区财政局（国资委）审批。</w:t>
      </w:r>
    </w:p>
    <w:p w14:paraId="2CAF529F">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区财政局（国资委）对500万元及以上年度投资计划进行合规性</w:t>
      </w:r>
      <w:r>
        <w:rPr>
          <w:rFonts w:hint="eastAsia" w:ascii="Times New Roman" w:hAnsi="Times New Roman" w:eastAsia="仿宋_GB2312" w:cs="Times New Roman"/>
          <w:b w:val="0"/>
          <w:bCs w:val="0"/>
          <w:color w:val="auto"/>
          <w:kern w:val="0"/>
          <w:sz w:val="32"/>
          <w:szCs w:val="32"/>
          <w:highlight w:val="none"/>
          <w:u w:val="none"/>
          <w:lang w:val="en-US" w:eastAsia="zh-CN"/>
        </w:rPr>
        <w:t>审核</w:t>
      </w:r>
      <w:r>
        <w:rPr>
          <w:rFonts w:hint="default" w:ascii="Times New Roman" w:hAnsi="Times New Roman" w:eastAsia="仿宋_GB2312" w:cs="Times New Roman"/>
          <w:b w:val="0"/>
          <w:bCs w:val="0"/>
          <w:color w:val="auto"/>
          <w:kern w:val="0"/>
          <w:sz w:val="32"/>
          <w:szCs w:val="32"/>
          <w:highlight w:val="none"/>
          <w:u w:val="none"/>
          <w:lang w:val="en-US" w:eastAsia="zh-CN"/>
        </w:rPr>
        <w:t>，</w:t>
      </w:r>
      <w:r>
        <w:rPr>
          <w:rFonts w:hint="eastAsia" w:ascii="Times New Roman" w:hAnsi="Times New Roman" w:eastAsia="仿宋_GB2312" w:cs="Times New Roman"/>
          <w:b w:val="0"/>
          <w:bCs w:val="0"/>
          <w:color w:val="auto"/>
          <w:kern w:val="0"/>
          <w:sz w:val="32"/>
          <w:szCs w:val="32"/>
          <w:highlight w:val="none"/>
          <w:u w:val="none"/>
          <w:lang w:val="en-US" w:eastAsia="zh-CN"/>
        </w:rPr>
        <w:t>由区政府常务副区长组织</w:t>
      </w:r>
      <w:r>
        <w:rPr>
          <w:rFonts w:hint="default" w:ascii="Times New Roman" w:hAnsi="Times New Roman" w:eastAsia="仿宋_GB2312" w:cs="Times New Roman"/>
          <w:b w:val="0"/>
          <w:bCs w:val="0"/>
          <w:color w:val="auto"/>
          <w:kern w:val="0"/>
          <w:sz w:val="32"/>
          <w:szCs w:val="32"/>
          <w:highlight w:val="none"/>
          <w:u w:val="none"/>
          <w:lang w:val="en-US" w:eastAsia="zh-CN"/>
        </w:rPr>
        <w:t>发</w:t>
      </w:r>
      <w:r>
        <w:rPr>
          <w:rFonts w:hint="eastAsia" w:ascii="Times New Roman" w:hAnsi="Times New Roman" w:eastAsia="仿宋_GB2312" w:cs="Times New Roman"/>
          <w:b w:val="0"/>
          <w:bCs w:val="0"/>
          <w:color w:val="auto"/>
          <w:kern w:val="0"/>
          <w:sz w:val="32"/>
          <w:szCs w:val="32"/>
          <w:highlight w:val="none"/>
          <w:u w:val="none"/>
          <w:lang w:val="en-US" w:eastAsia="zh-CN"/>
        </w:rPr>
        <w:t>改</w:t>
      </w:r>
      <w:r>
        <w:rPr>
          <w:rFonts w:hint="default" w:ascii="Times New Roman" w:hAnsi="Times New Roman" w:eastAsia="仿宋_GB2312" w:cs="Times New Roman"/>
          <w:b w:val="0"/>
          <w:bCs w:val="0"/>
          <w:color w:val="auto"/>
          <w:kern w:val="0"/>
          <w:sz w:val="32"/>
          <w:szCs w:val="32"/>
          <w:highlight w:val="none"/>
          <w:u w:val="none"/>
          <w:lang w:val="en-US" w:eastAsia="zh-CN"/>
        </w:rPr>
        <w:t>、工信、住建、自然资源、生态环境等部门</w:t>
      </w:r>
      <w:r>
        <w:rPr>
          <w:rFonts w:hint="eastAsia" w:ascii="Times New Roman" w:hAnsi="Times New Roman" w:eastAsia="仿宋_GB2312" w:cs="Times New Roman"/>
          <w:b w:val="0"/>
          <w:bCs w:val="0"/>
          <w:color w:val="auto"/>
          <w:kern w:val="0"/>
          <w:sz w:val="32"/>
          <w:szCs w:val="32"/>
          <w:highlight w:val="none"/>
          <w:u w:val="none"/>
          <w:lang w:val="en-US" w:eastAsia="zh-CN"/>
        </w:rPr>
        <w:t>开展联合性审查</w:t>
      </w:r>
      <w:r>
        <w:rPr>
          <w:rFonts w:hint="default" w:ascii="Times New Roman" w:hAnsi="Times New Roman" w:eastAsia="仿宋_GB2312" w:cs="Times New Roman"/>
          <w:b w:val="0"/>
          <w:bCs w:val="0"/>
          <w:color w:val="auto"/>
          <w:kern w:val="0"/>
          <w:sz w:val="32"/>
          <w:szCs w:val="32"/>
          <w:highlight w:val="none"/>
          <w:u w:val="none"/>
          <w:lang w:val="en-US" w:eastAsia="zh-CN"/>
        </w:rPr>
        <w:t>。经区财政局（国资委）党委会审批，报区政府常务会议、区委财经会议审议，审议通过后实施。3000万元及以上新建项目报市国资委备案或批准。</w:t>
      </w:r>
    </w:p>
    <w:p w14:paraId="2723582C">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审核备案及批准的年度投资计划主要包括以下内容：</w:t>
      </w:r>
    </w:p>
    <w:p w14:paraId="4B8D55C4">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（一）年度投资主要方向和目的；</w:t>
      </w:r>
    </w:p>
    <w:p w14:paraId="785ECC7B">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（二）年度投资计划基础信息简表；</w:t>
      </w:r>
    </w:p>
    <w:p w14:paraId="07237FC3">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（三）年度投资规模及资产负债率水平；</w:t>
      </w:r>
    </w:p>
    <w:p w14:paraId="0C7F806C">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（四）年度投资结构分析、投资整体效益内部测算表、资金平衡方案；</w:t>
      </w:r>
    </w:p>
    <w:p w14:paraId="5592E46D">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（五）投资项目资金来源（含合资合作方情况）；</w:t>
      </w:r>
    </w:p>
    <w:p w14:paraId="39724319">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（六）开展项目投资的报告；</w:t>
      </w:r>
    </w:p>
    <w:p w14:paraId="49A36C37">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（七）投资项目可研报告；</w:t>
      </w:r>
    </w:p>
    <w:p w14:paraId="73024E00">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（八）投资项目风险防控报告；</w:t>
      </w:r>
    </w:p>
    <w:p w14:paraId="50490485">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（九）投资项目财务意见书；</w:t>
      </w:r>
    </w:p>
    <w:p w14:paraId="025DB51C">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（十）投资项目法律意见书；</w:t>
      </w:r>
    </w:p>
    <w:p w14:paraId="2B3D08C8">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（十一）尽职调查报告（并购、合资、增资等股权投资项目）；</w:t>
      </w:r>
    </w:p>
    <w:p w14:paraId="112FA06E">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（十二）监管企业决策文件，包括但不限于总公司党委会会议纪要、董事会决议，项目实施子企业党组织会议纪要、董事会决议；</w:t>
      </w:r>
    </w:p>
    <w:p w14:paraId="7F40C7A7">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（十三）区财政局（国资委）要求报送的其他内容。</w:t>
      </w:r>
    </w:p>
    <w:p w14:paraId="3123E571">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第八条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经审核备案或批准通过后的年度投资计划原则上不得随意变更。监管企业确需变更计划内项目，按照本</w:t>
      </w:r>
      <w:r>
        <w:rPr>
          <w:rFonts w:hint="eastAsia" w:ascii="Times New Roman" w:hAnsi="Times New Roman" w:eastAsia="仿宋_GB2312" w:cs="Times New Roman"/>
          <w:b w:val="0"/>
          <w:bCs w:val="0"/>
          <w:color w:val="auto"/>
          <w:kern w:val="0"/>
          <w:sz w:val="32"/>
          <w:szCs w:val="32"/>
          <w:highlight w:val="none"/>
          <w:u w:val="none"/>
          <w:lang w:val="en-US" w:eastAsia="zh-CN"/>
        </w:rPr>
        <w:t>规定</w:t>
      </w:r>
      <w:r>
        <w:rPr>
          <w:rFonts w:hint="default" w:ascii="Times New Roman" w:hAnsi="Times New Roman" w:eastAsia="仿宋_GB2312" w:cs="Times New Roman"/>
          <w:b w:val="0"/>
          <w:bCs w:val="0"/>
          <w:color w:val="auto"/>
          <w:kern w:val="0"/>
          <w:sz w:val="32"/>
          <w:szCs w:val="32"/>
          <w:highlight w:val="none"/>
          <w:u w:val="none"/>
          <w:lang w:val="en-US" w:eastAsia="zh-CN"/>
        </w:rPr>
        <w:t>第十条规定流程办理年度投资计划调整；确需新增计划外项目，按照本</w:t>
      </w:r>
      <w:r>
        <w:rPr>
          <w:rFonts w:hint="eastAsia" w:ascii="Times New Roman" w:hAnsi="Times New Roman" w:eastAsia="仿宋_GB2312" w:cs="Times New Roman"/>
          <w:b w:val="0"/>
          <w:bCs w:val="0"/>
          <w:color w:val="auto"/>
          <w:kern w:val="0"/>
          <w:sz w:val="32"/>
          <w:szCs w:val="32"/>
          <w:highlight w:val="none"/>
          <w:u w:val="none"/>
          <w:lang w:val="en-US" w:eastAsia="zh-CN"/>
        </w:rPr>
        <w:t>规定</w:t>
      </w:r>
      <w:r>
        <w:rPr>
          <w:rFonts w:hint="default" w:ascii="Times New Roman" w:hAnsi="Times New Roman" w:eastAsia="仿宋_GB2312" w:cs="Times New Roman"/>
          <w:b w:val="0"/>
          <w:bCs w:val="0"/>
          <w:color w:val="auto"/>
          <w:kern w:val="0"/>
          <w:sz w:val="32"/>
          <w:szCs w:val="32"/>
          <w:highlight w:val="none"/>
          <w:u w:val="none"/>
          <w:lang w:val="en-US" w:eastAsia="zh-CN"/>
        </w:rPr>
        <w:t>第七条规定流程办理年度投资计划调整。</w:t>
      </w:r>
    </w:p>
    <w:p w14:paraId="0D9D9B96">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第九条</w:t>
      </w:r>
      <w:r>
        <w:rPr>
          <w:rFonts w:hint="default" w:ascii="Times New Roman" w:hAnsi="Times New Roman" w:eastAsia="仿宋_GB2312" w:cs="Times New Roman"/>
          <w:b w:val="0"/>
          <w:bCs w:val="0"/>
          <w:color w:val="auto"/>
          <w:kern w:val="0"/>
          <w:sz w:val="32"/>
          <w:szCs w:val="32"/>
          <w:highlight w:val="none"/>
          <w:u w:val="none"/>
          <w:lang w:val="en-US" w:eastAsia="zh-CN"/>
        </w:rPr>
        <w:t xml:space="preserve">  监管企业实施经审核备案或批准的年度投资计划项目前，应逐项对新建项目履行内部决策程序，报区财政局（国资委）审核备案。审核备案或批准的项目资料包括但不限于总公司党委会会议纪要、董事会决议，项目实施子企业党组织会议纪要、董事会决议。</w:t>
      </w:r>
    </w:p>
    <w:p w14:paraId="354C8B26">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第十条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监管企业在实施年度投资计划项目过程中，项目建设内容或投资金额发生调增、调减、停止实施等变更情况，应及时履行内部决策程序。</w:t>
      </w:r>
    </w:p>
    <w:p w14:paraId="371ECA8C">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对投资金额调整超过10%</w:t>
      </w:r>
      <w:r>
        <w:rPr>
          <w:rFonts w:hint="eastAsia" w:ascii="Times New Roman" w:hAnsi="Times New Roman"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停止实施的年度投资计划项目，报区财政局（国资委）审核备案，并调整年度投资计划。备案资料包括以下内容：</w:t>
      </w:r>
    </w:p>
    <w:p w14:paraId="50A4380D">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（一）投资项目变更报告；</w:t>
      </w:r>
    </w:p>
    <w:p w14:paraId="2608376A">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（二）投资项目变更程序资料；</w:t>
      </w:r>
    </w:p>
    <w:p w14:paraId="09B08397">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（三）监管企业关于项目变更的内部决策文件，包括但不限于总公司党委会会议纪要、董事会决议，项目实施子企业党组织会议纪要、董事会决议；</w:t>
      </w:r>
    </w:p>
    <w:p w14:paraId="51CB1104">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（四）区财政局（国资委）要求报送的其他内容。</w:t>
      </w:r>
    </w:p>
    <w:p w14:paraId="44844FB8">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第十一条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区财政局（国资委）在收齐相关材料后5个工作日内，向监管企业反馈书面意见。区财政局（国资委）在必要时可委托第三方咨询机构或组织专家论证会，对投资项目进行论证。</w:t>
      </w:r>
    </w:p>
    <w:p w14:paraId="04B83B62">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第十二条</w:t>
      </w:r>
      <w:r>
        <w:rPr>
          <w:rFonts w:hint="default" w:ascii="Times New Roman" w:hAnsi="Times New Roman" w:eastAsia="仿宋_GB2312" w:cs="Times New Roman"/>
          <w:b w:val="0"/>
          <w:bCs w:val="0"/>
          <w:color w:val="auto"/>
          <w:kern w:val="0"/>
          <w:sz w:val="32"/>
          <w:szCs w:val="32"/>
          <w:highlight w:val="none"/>
          <w:u w:val="none"/>
          <w:lang w:val="en-US" w:eastAsia="zh-CN"/>
        </w:rPr>
        <w:t xml:space="preserve">  境外投资项目按照自治区《关于规范新疆企业海外经营行为加强境外企业和对外投资安全工作的实施意见》（新政发〔2018〕32号）有关要求，经区财政局（国资委）合规性审查、相关部门专业性审核后，报区委、区政府批准，并按照相关规定报上级审批。</w:t>
      </w:r>
    </w:p>
    <w:p w14:paraId="17BDD20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u w:val="none"/>
        </w:rPr>
      </w:pPr>
    </w:p>
    <w:p w14:paraId="7B13F54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第三章 融资管理</w:t>
      </w:r>
    </w:p>
    <w:p w14:paraId="5AC06FB6">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第十三条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本</w:t>
      </w:r>
      <w:r>
        <w:rPr>
          <w:rFonts w:hint="eastAsia" w:ascii="Times New Roman" w:hAnsi="Times New Roman" w:eastAsia="仿宋_GB2312" w:cs="Times New Roman"/>
          <w:b w:val="0"/>
          <w:bCs w:val="0"/>
          <w:color w:val="auto"/>
          <w:kern w:val="0"/>
          <w:sz w:val="32"/>
          <w:szCs w:val="32"/>
          <w:highlight w:val="none"/>
          <w:u w:val="none"/>
          <w:lang w:val="en-US" w:eastAsia="zh-CN"/>
        </w:rPr>
        <w:t>规定</w:t>
      </w:r>
      <w:r>
        <w:rPr>
          <w:rFonts w:hint="default" w:ascii="Times New Roman" w:hAnsi="Times New Roman" w:eastAsia="仿宋_GB2312" w:cs="Times New Roman"/>
          <w:b w:val="0"/>
          <w:bCs w:val="0"/>
          <w:color w:val="auto"/>
          <w:kern w:val="0"/>
          <w:sz w:val="32"/>
          <w:szCs w:val="32"/>
          <w:highlight w:val="none"/>
          <w:u w:val="none"/>
          <w:lang w:val="en-US" w:eastAsia="zh-CN"/>
        </w:rPr>
        <w:t>所称融资是指监管企业为保障经营活动及投资活动有序开展而筹措资金的行为，包括：</w:t>
      </w:r>
    </w:p>
    <w:p w14:paraId="1148C9B5">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（一）发行债券、股票、股权合资、项目合作融资、企业内部融资；</w:t>
      </w:r>
    </w:p>
    <w:p w14:paraId="592E7D0C">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（二）银行信贷、非银行金融机构信贷、委托贷款、信托、保理、融资租赁等对外举债债务；</w:t>
      </w:r>
    </w:p>
    <w:p w14:paraId="51379DE3">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（三）其他融资行为。</w:t>
      </w:r>
    </w:p>
    <w:p w14:paraId="56C0F96C">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涉及投资项目的融资行为，按照本</w:t>
      </w:r>
      <w:r>
        <w:rPr>
          <w:rFonts w:hint="eastAsia" w:ascii="Times New Roman" w:hAnsi="Times New Roman" w:eastAsia="仿宋_GB2312" w:cs="Times New Roman"/>
          <w:b w:val="0"/>
          <w:bCs w:val="0"/>
          <w:color w:val="auto"/>
          <w:kern w:val="0"/>
          <w:sz w:val="32"/>
          <w:szCs w:val="32"/>
          <w:highlight w:val="none"/>
          <w:u w:val="none"/>
          <w:lang w:val="en-US" w:eastAsia="zh-CN"/>
        </w:rPr>
        <w:t>规定</w:t>
      </w:r>
      <w:r>
        <w:rPr>
          <w:rFonts w:hint="default" w:ascii="Times New Roman" w:hAnsi="Times New Roman" w:eastAsia="仿宋_GB2312" w:cs="Times New Roman"/>
          <w:b w:val="0"/>
          <w:bCs w:val="0"/>
          <w:color w:val="auto"/>
          <w:kern w:val="0"/>
          <w:sz w:val="32"/>
          <w:szCs w:val="32"/>
          <w:highlight w:val="none"/>
          <w:u w:val="none"/>
          <w:lang w:val="en-US" w:eastAsia="zh-CN"/>
        </w:rPr>
        <w:t>第二章投资项目的管理规定执行。</w:t>
      </w:r>
    </w:p>
    <w:p w14:paraId="41BA054E">
      <w:pPr>
        <w:keepNext w:val="0"/>
        <w:keepLines w:val="0"/>
        <w:pageBreakBefore w:val="0"/>
        <w:widowControl/>
        <w:numPr>
          <w:ilvl w:val="0"/>
          <w:numId w:val="0"/>
        </w:numPr>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bidi="ar-SA"/>
        </w:rPr>
        <w:t>第十四条</w:t>
      </w:r>
      <w:r>
        <w:rPr>
          <w:rFonts w:hint="default" w:ascii="Times New Roman" w:hAnsi="Times New Roman" w:eastAsia="仿宋_GB2312" w:cs="Times New Roman"/>
          <w:b w:val="0"/>
          <w:bCs w:val="0"/>
          <w:color w:val="auto"/>
          <w:kern w:val="0"/>
          <w:sz w:val="32"/>
          <w:szCs w:val="32"/>
          <w:highlight w:val="none"/>
          <w:u w:val="none"/>
          <w:lang w:val="en-US" w:eastAsia="zh-CN"/>
        </w:rPr>
        <w:t xml:space="preserve"> 实行年度融资计划管理。监管企业应当按照本企业发展战略和规划、主业范围等要求，结合年度财务预算，于当年12月1日前将履行完内部决策程序的次年度融资计划报区财政局（国资委）审批，区财政局（国资委）提交区政府常务会议、区委财经会议审议通过后实施。年度融资计划主要包括以下内容：</w:t>
      </w:r>
    </w:p>
    <w:p w14:paraId="1ACC616A">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（一）年度融资方向及主要目的；</w:t>
      </w:r>
    </w:p>
    <w:p w14:paraId="79C2E5AD">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二）融资方案，包括但不限于融资方式及融资对象，拟融资金额、期限、资金成本，融资资金的用途和投向，还款来源和还款计划，融资担保情况，企业资产负债状况说明，风险控制机制和流程，可能出现的风险及应对方案等内容；</w:t>
      </w:r>
    </w:p>
    <w:p w14:paraId="3274FED8">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（三）最近一期财务报表；</w:t>
      </w:r>
    </w:p>
    <w:p w14:paraId="31FC67ED">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（四）监管企业决策文件，包括但不限于总公司党委会会议纪要、董事会决议，项目实施子企业党组织会议纪要、董事会决议；</w:t>
      </w:r>
    </w:p>
    <w:p w14:paraId="74123B52">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（五）区财政局（国资委）要求报送的其他内容。</w:t>
      </w:r>
    </w:p>
    <w:p w14:paraId="540E3D2A">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第十五条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监管企业实施融资计划事项前，报区财政局（国资委）备案，备案资料包括风险评估报告、监管企业决策文件、财务意见书、法律意见书等资料，风险评估报告应包含以下内容：</w:t>
      </w:r>
    </w:p>
    <w:p w14:paraId="3023D8C4">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（一）与主业发展、年度融资计划是否一致；</w:t>
      </w:r>
    </w:p>
    <w:p w14:paraId="776FE64F">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（二）是否用于经营性项目或符合规定的用途，债券类融资严禁用于房地产买卖、股票买卖和期货交易等与本企业生产经营无关的风险性投资；</w:t>
      </w:r>
    </w:p>
    <w:p w14:paraId="22D01BF7">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（三）融资方式、期限、利率组合是否最优，综合融资成本是否合理，是否超过市场平均水平或行业标准；</w:t>
      </w:r>
    </w:p>
    <w:p w14:paraId="2FA5BA59">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（四）是否有明确、可靠的还款资金来源，现金流预测是否</w:t>
      </w:r>
    </w:p>
    <w:p w14:paraId="7FCC537D">
      <w:pPr>
        <w:keepNext w:val="0"/>
        <w:keepLines w:val="0"/>
        <w:pageBreakBefore w:val="0"/>
        <w:widowControl/>
        <w:suppressLineNumbers w:val="0"/>
        <w:shd w:val="clear"/>
        <w:kinsoku/>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合理；</w:t>
      </w:r>
    </w:p>
    <w:p w14:paraId="3E65D344">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（五）是否制定应对市场波动、利率变化的风险防控措施和应急预案；</w:t>
      </w:r>
    </w:p>
    <w:p w14:paraId="6592CC0E">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（六）监管企业是否制定债券类融资的发行章程等相关行业要求的规定文件。</w:t>
      </w:r>
    </w:p>
    <w:p w14:paraId="385DF9B4">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第十六条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监管企业确需变更计划内、新增计划外的融资事项，应当在变更、新增的融资事项实施前完成年度融资计划的调整工作，并报区财政局（国资委）办理调整备案。</w:t>
      </w:r>
    </w:p>
    <w:p w14:paraId="65C3261A">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第十七条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区财政局（国资委）在收齐相关材料后5个工作日内，向监管企业反馈书面意见。区财政局（国资委）在必要时可委托第三方咨询机构或组织专家论证会，对融资事项进行论证。</w:t>
      </w:r>
    </w:p>
    <w:p w14:paraId="7342EC5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u w:val="none"/>
        </w:rPr>
      </w:pPr>
    </w:p>
    <w:p w14:paraId="3622D9F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第四章 担保管理</w:t>
      </w:r>
    </w:p>
    <w:p w14:paraId="15503A9E">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第十八条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本</w:t>
      </w:r>
      <w:r>
        <w:rPr>
          <w:rFonts w:hint="eastAsia" w:ascii="Times New Roman" w:hAnsi="Times New Roman" w:eastAsia="仿宋_GB2312" w:cs="Times New Roman"/>
          <w:b w:val="0"/>
          <w:bCs w:val="0"/>
          <w:color w:val="auto"/>
          <w:kern w:val="0"/>
          <w:sz w:val="32"/>
          <w:szCs w:val="32"/>
          <w:highlight w:val="none"/>
          <w:u w:val="none"/>
          <w:lang w:val="en-US" w:eastAsia="zh-CN"/>
        </w:rPr>
        <w:t>规定</w:t>
      </w:r>
      <w:r>
        <w:rPr>
          <w:rFonts w:hint="default" w:ascii="Times New Roman" w:hAnsi="Times New Roman" w:eastAsia="仿宋_GB2312" w:cs="Times New Roman"/>
          <w:b w:val="0"/>
          <w:bCs w:val="0"/>
          <w:color w:val="auto"/>
          <w:kern w:val="0"/>
          <w:sz w:val="32"/>
          <w:szCs w:val="32"/>
          <w:highlight w:val="none"/>
          <w:u w:val="none"/>
          <w:lang w:val="en-US" w:eastAsia="zh-CN"/>
        </w:rPr>
        <w:t>所称担保是指监管企业以自身信用或特定财产，担保债权人债权实现的行为。包括为本集团内外企业借款，以及发行债券、基金产品、信托产品、资产管理计划等融资行为提供的各种形式担保，如一般保证、连带责任保证、抵押、质押等；也包括出具有担保效力的共同借款合同、差额补足承诺、安慰承诺等支持性函件形成的隐性担保。</w:t>
      </w:r>
    </w:p>
    <w:p w14:paraId="43884749">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第十九条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具有担保条件的监管企业及各级子企业依照法律、法规以及《公司章程》和本</w:t>
      </w:r>
      <w:r>
        <w:rPr>
          <w:rFonts w:hint="eastAsia" w:ascii="Times New Roman" w:hAnsi="Times New Roman" w:eastAsia="仿宋_GB2312" w:cs="Times New Roman"/>
          <w:b w:val="0"/>
          <w:bCs w:val="0"/>
          <w:color w:val="auto"/>
          <w:kern w:val="0"/>
          <w:sz w:val="32"/>
          <w:szCs w:val="32"/>
          <w:highlight w:val="none"/>
          <w:u w:val="none"/>
          <w:lang w:val="en-US" w:eastAsia="zh-CN"/>
        </w:rPr>
        <w:t>规定</w:t>
      </w:r>
      <w:r>
        <w:rPr>
          <w:rFonts w:hint="default" w:ascii="Times New Roman" w:hAnsi="Times New Roman" w:eastAsia="仿宋_GB2312" w:cs="Times New Roman"/>
          <w:b w:val="0"/>
          <w:bCs w:val="0"/>
          <w:color w:val="auto"/>
          <w:kern w:val="0"/>
          <w:sz w:val="32"/>
          <w:szCs w:val="32"/>
          <w:highlight w:val="none"/>
          <w:u w:val="none"/>
          <w:lang w:val="en-US" w:eastAsia="zh-CN"/>
        </w:rPr>
        <w:t>，可以对符合条件的企业提供担保。</w:t>
      </w:r>
    </w:p>
    <w:p w14:paraId="3747A20F">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第二十条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在提供担保时，担保人应具备以下条件：</w:t>
      </w:r>
    </w:p>
    <w:p w14:paraId="29171B48">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（一）具有良好的资信及偿债能力；</w:t>
      </w:r>
    </w:p>
    <w:p w14:paraId="0B6CBCE6">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（二）无逃废银行债务等不良信用记录；</w:t>
      </w:r>
    </w:p>
    <w:p w14:paraId="4ECCBD00">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（三）无重大经济纠纷；</w:t>
      </w:r>
    </w:p>
    <w:p w14:paraId="003C046B">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（四）最近会计年度审计后资产负债率小于70%。</w:t>
      </w:r>
    </w:p>
    <w:p w14:paraId="2EF75DEF">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第二十一条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被担保项目应符合以下条件：</w:t>
      </w:r>
    </w:p>
    <w:p w14:paraId="4941A81A">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（一）符合国家、自治区、克拉玛依市、独山子区有关产业政策要求、国有经济布局战略性调整要求；</w:t>
      </w:r>
    </w:p>
    <w:p w14:paraId="37E0297B">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（二）符合被担保人主营业务发展方向；</w:t>
      </w:r>
    </w:p>
    <w:p w14:paraId="706D076C">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（三）不属于高风险的投资项目（包括任何形式的委托理财，投资股票、期货、期权等）。</w:t>
      </w:r>
    </w:p>
    <w:p w14:paraId="0C5A0FCC">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第二十二条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监管企业及各级子企业提供担保的方式，应以一般保证为主。向非全资子公司提供担保时，应要求被担保人提供反担保，提供反担保为第三方时，还应对第三方相关情况进行调查并进行风险综合评估。</w:t>
      </w:r>
    </w:p>
    <w:p w14:paraId="690DF004">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监管企业向非独山子区属国有企业提供担保时，按照“一事一议”原则审核担保事项，并按照本</w:t>
      </w:r>
      <w:r>
        <w:rPr>
          <w:rFonts w:hint="eastAsia" w:ascii="Times New Roman" w:hAnsi="Times New Roman" w:eastAsia="仿宋_GB2312" w:cs="Times New Roman"/>
          <w:b w:val="0"/>
          <w:bCs w:val="0"/>
          <w:color w:val="auto"/>
          <w:kern w:val="0"/>
          <w:sz w:val="32"/>
          <w:szCs w:val="32"/>
          <w:highlight w:val="none"/>
          <w:u w:val="none"/>
          <w:lang w:val="en-US" w:eastAsia="zh-CN"/>
        </w:rPr>
        <w:t>规定</w:t>
      </w:r>
      <w:r>
        <w:rPr>
          <w:rFonts w:hint="default" w:ascii="Times New Roman" w:hAnsi="Times New Roman" w:eastAsia="仿宋_GB2312" w:cs="Times New Roman"/>
          <w:b w:val="0"/>
          <w:bCs w:val="0"/>
          <w:color w:val="auto"/>
          <w:kern w:val="0"/>
          <w:sz w:val="32"/>
          <w:szCs w:val="32"/>
          <w:highlight w:val="none"/>
          <w:u w:val="none"/>
          <w:lang w:val="en-US" w:eastAsia="zh-CN"/>
        </w:rPr>
        <w:t>第二十四条、二十五条规定报区财政局（国资委）履行程序。</w:t>
      </w:r>
    </w:p>
    <w:p w14:paraId="15A1426F">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第二十三条</w:t>
      </w:r>
      <w:r>
        <w:rPr>
          <w:rFonts w:hint="default" w:ascii="Times New Roman" w:hAnsi="Times New Roman" w:eastAsia="仿宋_GB2312" w:cs="Times New Roman"/>
          <w:b w:val="0"/>
          <w:bCs w:val="0"/>
          <w:color w:val="auto"/>
          <w:kern w:val="0"/>
          <w:sz w:val="32"/>
          <w:szCs w:val="32"/>
          <w:highlight w:val="none"/>
          <w:u w:val="none"/>
          <w:lang w:val="en-US" w:eastAsia="zh-CN"/>
        </w:rPr>
        <w:t xml:space="preserve">  监管企业严禁实施以下行为：</w:t>
      </w:r>
    </w:p>
    <w:p w14:paraId="0DCBD20E">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eastAsia" w:ascii="Times New Roman" w:hAnsi="Times New Roman" w:eastAsia="仿宋_GB2312" w:cs="Times New Roman"/>
          <w:b w:val="0"/>
          <w:bCs w:val="0"/>
          <w:color w:val="auto"/>
          <w:kern w:val="0"/>
          <w:sz w:val="32"/>
          <w:szCs w:val="32"/>
          <w:highlight w:val="none"/>
          <w:u w:val="none"/>
          <w:lang w:val="en-US" w:eastAsia="zh-CN"/>
        </w:rPr>
        <w:t>（一）</w:t>
      </w:r>
      <w:r>
        <w:rPr>
          <w:rFonts w:hint="default" w:ascii="Times New Roman" w:hAnsi="Times New Roman" w:eastAsia="仿宋_GB2312" w:cs="Times New Roman"/>
          <w:b w:val="0"/>
          <w:bCs w:val="0"/>
          <w:color w:val="auto"/>
          <w:kern w:val="0"/>
          <w:sz w:val="32"/>
          <w:szCs w:val="32"/>
          <w:highlight w:val="none"/>
          <w:u w:val="none"/>
          <w:lang w:val="en-US" w:eastAsia="zh-CN"/>
        </w:rPr>
        <w:t>为非法人单位、个人提供担保；</w:t>
      </w:r>
    </w:p>
    <w:p w14:paraId="26CAEDF5">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w:t>
      </w:r>
      <w:r>
        <w:rPr>
          <w:rFonts w:hint="eastAsia" w:ascii="Times New Roman" w:hAnsi="Times New Roman" w:eastAsia="仿宋_GB2312" w:cs="Times New Roman"/>
          <w:b w:val="0"/>
          <w:bCs w:val="0"/>
          <w:color w:val="auto"/>
          <w:kern w:val="0"/>
          <w:sz w:val="32"/>
          <w:szCs w:val="32"/>
          <w:highlight w:val="none"/>
          <w:u w:val="none"/>
          <w:lang w:val="en-US" w:eastAsia="zh-CN"/>
        </w:rPr>
        <w:t>二</w:t>
      </w:r>
      <w:r>
        <w:rPr>
          <w:rFonts w:hint="default" w:ascii="Times New Roman" w:hAnsi="Times New Roman" w:eastAsia="仿宋_GB2312" w:cs="Times New Roman"/>
          <w:b w:val="0"/>
          <w:bCs w:val="0"/>
          <w:color w:val="auto"/>
          <w:kern w:val="0"/>
          <w:sz w:val="32"/>
          <w:szCs w:val="32"/>
          <w:highlight w:val="none"/>
          <w:u w:val="none"/>
          <w:lang w:val="en-US" w:eastAsia="zh-CN"/>
        </w:rPr>
        <w:t>）担保累计总额超过本企业净资产70%，或担保前企业资产负债率达到70%拟提供担保事项；</w:t>
      </w:r>
    </w:p>
    <w:p w14:paraId="27F59A3E">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w:t>
      </w:r>
      <w:r>
        <w:rPr>
          <w:rFonts w:hint="eastAsia" w:ascii="Times New Roman" w:hAnsi="Times New Roman" w:eastAsia="仿宋_GB2312" w:cs="Times New Roman"/>
          <w:b w:val="0"/>
          <w:bCs w:val="0"/>
          <w:color w:val="auto"/>
          <w:kern w:val="0"/>
          <w:sz w:val="32"/>
          <w:szCs w:val="32"/>
          <w:highlight w:val="none"/>
          <w:u w:val="none"/>
          <w:lang w:val="en-US" w:eastAsia="zh-CN"/>
        </w:rPr>
        <w:t>三</w:t>
      </w:r>
      <w:r>
        <w:rPr>
          <w:rFonts w:hint="default" w:ascii="Times New Roman" w:hAnsi="Times New Roman" w:eastAsia="仿宋_GB2312" w:cs="Times New Roman"/>
          <w:b w:val="0"/>
          <w:bCs w:val="0"/>
          <w:color w:val="auto"/>
          <w:kern w:val="0"/>
          <w:sz w:val="32"/>
          <w:szCs w:val="32"/>
          <w:highlight w:val="none"/>
          <w:u w:val="none"/>
          <w:lang w:val="en-US" w:eastAsia="zh-CN"/>
        </w:rPr>
        <w:t>）对控股、参股企业超过持股比例提供担保；</w:t>
      </w:r>
    </w:p>
    <w:p w14:paraId="312B4813">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w:t>
      </w:r>
      <w:r>
        <w:rPr>
          <w:rFonts w:hint="eastAsia" w:ascii="Times New Roman" w:hAnsi="Times New Roman" w:eastAsia="仿宋_GB2312" w:cs="Times New Roman"/>
          <w:b w:val="0"/>
          <w:bCs w:val="0"/>
          <w:color w:val="auto"/>
          <w:kern w:val="0"/>
          <w:sz w:val="32"/>
          <w:szCs w:val="32"/>
          <w:highlight w:val="none"/>
          <w:u w:val="none"/>
          <w:lang w:val="en-US" w:eastAsia="zh-CN"/>
        </w:rPr>
        <w:t>四</w:t>
      </w:r>
      <w:r>
        <w:rPr>
          <w:rFonts w:hint="default" w:ascii="Times New Roman" w:hAnsi="Times New Roman" w:eastAsia="仿宋_GB2312" w:cs="Times New Roman"/>
          <w:b w:val="0"/>
          <w:bCs w:val="0"/>
          <w:color w:val="auto"/>
          <w:kern w:val="0"/>
          <w:sz w:val="32"/>
          <w:szCs w:val="32"/>
          <w:highlight w:val="none"/>
          <w:u w:val="none"/>
          <w:lang w:val="en-US" w:eastAsia="zh-CN"/>
        </w:rPr>
        <w:t>）对存在最近三个会计年度连续亏损、存在拖欠银行贷款本息不良记录、涉及重大经济纠纷或经济案件尚未办结、企业审计后净资产小于实收资本、已裁定破产或进入破产程序等任一情形的企业提供担保。</w:t>
      </w:r>
    </w:p>
    <w:p w14:paraId="45423744">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第二十四条</w:t>
      </w:r>
      <w:r>
        <w:rPr>
          <w:rFonts w:hint="default" w:ascii="Times New Roman" w:hAnsi="Times New Roman" w:eastAsia="仿宋_GB2312" w:cs="Times New Roman"/>
          <w:b w:val="0"/>
          <w:bCs w:val="0"/>
          <w:color w:val="auto"/>
          <w:kern w:val="0"/>
          <w:sz w:val="32"/>
          <w:szCs w:val="32"/>
          <w:highlight w:val="none"/>
          <w:u w:val="none"/>
          <w:lang w:val="en-US" w:eastAsia="zh-CN"/>
        </w:rPr>
        <w:t xml:space="preserve">  监管企业提供担保事项，由提供担保的监管企业对担保风险进行综合评估的基础上，履行内部决策程序后，报区财政局（国资委）审核备案后实施。担保事项履行完相关程序后，由区财政局（国资委）报市国资委备案或批准。</w:t>
      </w:r>
    </w:p>
    <w:p w14:paraId="4CD506FE">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第二十五条</w:t>
      </w:r>
      <w:r>
        <w:rPr>
          <w:rFonts w:hint="default" w:ascii="Times New Roman" w:hAnsi="Times New Roman" w:eastAsia="仿宋_GB2312" w:cs="Times New Roman"/>
          <w:b w:val="0"/>
          <w:bCs w:val="0"/>
          <w:color w:val="auto"/>
          <w:kern w:val="0"/>
          <w:sz w:val="32"/>
          <w:szCs w:val="32"/>
          <w:highlight w:val="none"/>
          <w:u w:val="none"/>
          <w:lang w:val="en-US" w:eastAsia="zh-CN"/>
        </w:rPr>
        <w:t xml:space="preserve">  有以下情形之一的担保事项，监管企业履行内部决策程序后报区财政局（国资委）审核，由区财政局（国资委）向区委、区政府报告通过后实施。</w:t>
      </w:r>
    </w:p>
    <w:p w14:paraId="7DE501DE">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（一）单项担保额3000万元及以上，或超过本企业净资产的20%；</w:t>
      </w:r>
    </w:p>
    <w:p w14:paraId="2FE515DF">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（二）累计担保总额超过本企业净资产的50%；</w:t>
      </w:r>
    </w:p>
    <w:p w14:paraId="535B5C22">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（三）无直接产权关系的子企业之间拟互相担保的；</w:t>
      </w:r>
    </w:p>
    <w:p w14:paraId="518344B2">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（四）国家或地方政策明确允许的特殊情形。</w:t>
      </w:r>
    </w:p>
    <w:p w14:paraId="21FA046C">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第二十六条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监管企业向区财政局（国资委）备案的担保项目，应报送以下材料：</w:t>
      </w:r>
    </w:p>
    <w:p w14:paraId="4D91E092">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（一）担保申请报告，具体说明担保事项的原因、被担保债务的主要情况、担保类型及期限、担保协议主要条款、时间、金额等相关内容；</w:t>
      </w:r>
    </w:p>
    <w:p w14:paraId="04254352">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（二）监管企业内部决策文件；</w:t>
      </w:r>
    </w:p>
    <w:p w14:paraId="6D9E689E">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（三）监管企业（担保人）上年度及最近一期经审计的财务报表，以及累计担保事项说明；</w:t>
      </w:r>
    </w:p>
    <w:p w14:paraId="12F7BB67">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（四）全面履行反担保措施（反担保方案），被担保人应提供必要的资产质押或抵押；</w:t>
      </w:r>
    </w:p>
    <w:p w14:paraId="0EEB33B8">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（五）律师事务所出具的法律意见书；</w:t>
      </w:r>
    </w:p>
    <w:p w14:paraId="398AFCEF">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（六）区财政局（国资委）认为需要提供的其他材料。</w:t>
      </w:r>
    </w:p>
    <w:p w14:paraId="63A8C8C7">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第二十七条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区财政局（国资委）在收齐相关材料后5个工作日内，向监管企业反馈书面意见。区财政局（国资委）在必要时可委托第三方咨询机构或组织专家论证会，对担保事项进行论证。</w:t>
      </w:r>
    </w:p>
    <w:p w14:paraId="439EAD6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u w:val="none"/>
        </w:rPr>
      </w:pPr>
    </w:p>
    <w:p w14:paraId="279C53E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第五章 事中管理</w:t>
      </w:r>
    </w:p>
    <w:p w14:paraId="1170B25D">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第二十八条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监管企业应当定期对实施、运营中的投融资活动及对外担保进行跟踪分析，针对外部环境和项目情况变化及时开展再研究、再决策。出现重大不利变化的，应当及时研究决策后，启动中止、终止或退出机制。</w:t>
      </w:r>
    </w:p>
    <w:p w14:paraId="1EF13E97">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第二十九条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监管企业应当按照区财政局（国资委）要求，每月3日前报送月度投融资及担保完成情况。</w:t>
      </w:r>
    </w:p>
    <w:p w14:paraId="64EAF9E3">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第三十条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区财政局（国资委）对实施中的投融资活动及担保开展随机监督检查，重点核查决策、执行等情况，及时纠正违规行为。</w:t>
      </w:r>
    </w:p>
    <w:p w14:paraId="7A3FE22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u w:val="none"/>
        </w:rPr>
      </w:pPr>
    </w:p>
    <w:p w14:paraId="642E4E1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第六章 事后管理</w:t>
      </w:r>
    </w:p>
    <w:p w14:paraId="106850EC">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第三十一条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监管企业应当在年度终了后编制投融资及担保年度情况报告，并于次年1月31日前报送区财政局（国资委）。报告内容主要包括以下方面：</w:t>
      </w:r>
    </w:p>
    <w:p w14:paraId="20C3743E">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（一）年度总体情况；</w:t>
      </w:r>
    </w:p>
    <w:p w14:paraId="59E33487">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（二）效果分析与风险评估；</w:t>
      </w:r>
    </w:p>
    <w:p w14:paraId="0563E023">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（三）重大事项进展情况；</w:t>
      </w:r>
    </w:p>
    <w:p w14:paraId="0B37F354">
      <w:pPr>
        <w:keepNext w:val="0"/>
        <w:keepLines w:val="0"/>
        <w:pageBreakBefore w:val="0"/>
        <w:widowControl/>
        <w:suppressLineNumbers w:val="0"/>
        <w:shd w:val="clea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（四）主要问题及措施。</w:t>
      </w:r>
    </w:p>
    <w:p w14:paraId="662B7751">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第三十二条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区财政局（国资委）每年组织开展一次对上年度投融资及担保事项的抽查复核工作，通报复核结果并推广经验做法，必要时可委托第三方专业机构或专家组参与抽查复核工作。对错报、瞒报的监管企业进行通报或追究企业经营管理人员责任。</w:t>
      </w:r>
    </w:p>
    <w:p w14:paraId="57196899">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第三十三条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监管企业要对上报材料的真实性负责。以提供虚假材料等不正当手段取得批复文件的，由区财政局（国资委）撤销批复并追究相关人员责任。</w:t>
      </w:r>
    </w:p>
    <w:p w14:paraId="5B522C03">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第三十四条</w:t>
      </w:r>
      <w:r>
        <w:rPr>
          <w:rFonts w:hint="default" w:ascii="Times New Roman" w:hAnsi="Times New Roman" w:eastAsia="仿宋_GB2312" w:cs="Times New Roman"/>
          <w:b w:val="0"/>
          <w:bCs w:val="0"/>
          <w:color w:val="auto"/>
          <w:kern w:val="0"/>
          <w:sz w:val="32"/>
          <w:szCs w:val="32"/>
          <w:highlight w:val="none"/>
          <w:u w:val="none"/>
          <w:lang w:val="en-US" w:eastAsia="zh-CN"/>
        </w:rPr>
        <w:t xml:space="preserve">  区财政局（国资委）对监管企业的投融资及担保情况开展后评价，评价结果向区委、区政府报告，并纳入企业经营业绩考核，与企业负责人薪酬挂钩。</w:t>
      </w:r>
    </w:p>
    <w:p w14:paraId="7E01018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u w:val="none"/>
        </w:rPr>
      </w:pPr>
    </w:p>
    <w:p w14:paraId="46789AE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第七章 责任追究</w:t>
      </w:r>
    </w:p>
    <w:p w14:paraId="7D1F6343">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第三十五条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区财政局（国资委）工作人员违反本</w:t>
      </w:r>
      <w:r>
        <w:rPr>
          <w:rFonts w:hint="eastAsia" w:ascii="Times New Roman" w:hAnsi="Times New Roman" w:eastAsia="仿宋_GB2312" w:cs="Times New Roman"/>
          <w:b w:val="0"/>
          <w:bCs w:val="0"/>
          <w:color w:val="auto"/>
          <w:kern w:val="0"/>
          <w:sz w:val="32"/>
          <w:szCs w:val="32"/>
          <w:highlight w:val="none"/>
          <w:u w:val="none"/>
          <w:lang w:val="en-US" w:eastAsia="zh-CN"/>
        </w:rPr>
        <w:t>规定</w:t>
      </w:r>
      <w:r>
        <w:rPr>
          <w:rFonts w:hint="default" w:ascii="Times New Roman" w:hAnsi="Times New Roman" w:eastAsia="仿宋_GB2312" w:cs="Times New Roman"/>
          <w:b w:val="0"/>
          <w:bCs w:val="0"/>
          <w:color w:val="auto"/>
          <w:kern w:val="0"/>
          <w:sz w:val="32"/>
          <w:szCs w:val="32"/>
          <w:highlight w:val="none"/>
          <w:u w:val="none"/>
          <w:lang w:val="en-US" w:eastAsia="zh-CN"/>
        </w:rPr>
        <w:t>造成不良影响的，由区财政局（国资委）责令改正；造成国有资产损失的，按照干部管理权限进行处置；涉嫌违纪违法的，依法移送纪委监委、司法机关处理。</w:t>
      </w:r>
    </w:p>
    <w:p w14:paraId="1886DA41">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第三十六条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监管企业违反本</w:t>
      </w:r>
      <w:r>
        <w:rPr>
          <w:rFonts w:hint="eastAsia" w:ascii="Times New Roman" w:hAnsi="Times New Roman" w:eastAsia="仿宋_GB2312" w:cs="Times New Roman"/>
          <w:b w:val="0"/>
          <w:bCs w:val="0"/>
          <w:color w:val="auto"/>
          <w:kern w:val="0"/>
          <w:sz w:val="32"/>
          <w:szCs w:val="32"/>
          <w:highlight w:val="none"/>
          <w:u w:val="none"/>
          <w:lang w:val="en-US" w:eastAsia="zh-CN"/>
        </w:rPr>
        <w:t>规定</w:t>
      </w:r>
      <w:r>
        <w:rPr>
          <w:rFonts w:hint="default" w:ascii="Times New Roman" w:hAnsi="Times New Roman" w:eastAsia="仿宋_GB2312" w:cs="Times New Roman"/>
          <w:b w:val="0"/>
          <w:bCs w:val="0"/>
          <w:color w:val="auto"/>
          <w:kern w:val="0"/>
          <w:sz w:val="32"/>
          <w:szCs w:val="32"/>
          <w:highlight w:val="none"/>
          <w:u w:val="none"/>
          <w:lang w:val="en-US" w:eastAsia="zh-CN"/>
        </w:rPr>
        <w:t>、未履行或未正确履行投融资及担保管理职责，造成国有资产损失以及其他严重不良后果的，依照《克拉玛依市市属国有企业违规经营投资责任追究办法（试行）》（克政办发〔2019〕46号）追究责任。</w:t>
      </w:r>
    </w:p>
    <w:p w14:paraId="29CE547D">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第三十七条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中介机构为投资、融资及对外担保项目提供可行性研究、审计、资产评估、法律意见等服务时出具不实报告的，由区财政局（国资委）提请行业主管部门给予警告并纳入失信名单；情节严重的，提请行业主管部门进行处罚；造成国有资产损失的，依法追索民事赔偿；涉嫌犯罪的，移送司法机关追究刑事责任。</w:t>
      </w:r>
    </w:p>
    <w:p w14:paraId="13A6AB7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u w:val="none"/>
        </w:rPr>
      </w:pPr>
    </w:p>
    <w:p w14:paraId="11611F7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第八章 附 则</w:t>
      </w:r>
    </w:p>
    <w:p w14:paraId="3074FE82">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第三十八条  </w:t>
      </w:r>
      <w:r>
        <w:rPr>
          <w:rFonts w:hint="default" w:ascii="Times New Roman" w:hAnsi="Times New Roman" w:eastAsia="仿宋_GB2312" w:cs="Times New Roman"/>
          <w:b w:val="0"/>
          <w:bCs w:val="0"/>
          <w:color w:val="auto"/>
          <w:kern w:val="0"/>
          <w:sz w:val="32"/>
          <w:szCs w:val="32"/>
          <w:highlight w:val="none"/>
          <w:u w:val="none"/>
          <w:lang w:val="en-US" w:eastAsia="zh-CN"/>
        </w:rPr>
        <w:t>本</w:t>
      </w:r>
      <w:r>
        <w:rPr>
          <w:rFonts w:hint="eastAsia" w:ascii="Times New Roman" w:hAnsi="Times New Roman" w:eastAsia="仿宋_GB2312" w:cs="Times New Roman"/>
          <w:b w:val="0"/>
          <w:bCs w:val="0"/>
          <w:color w:val="auto"/>
          <w:kern w:val="0"/>
          <w:sz w:val="32"/>
          <w:szCs w:val="32"/>
          <w:highlight w:val="none"/>
          <w:u w:val="none"/>
          <w:lang w:val="en-US" w:eastAsia="zh-CN"/>
        </w:rPr>
        <w:t>规定</w:t>
      </w:r>
      <w:r>
        <w:rPr>
          <w:rFonts w:hint="default" w:ascii="Times New Roman" w:hAnsi="Times New Roman" w:eastAsia="仿宋_GB2312" w:cs="Times New Roman"/>
          <w:b w:val="0"/>
          <w:bCs w:val="0"/>
          <w:color w:val="auto"/>
          <w:kern w:val="0"/>
          <w:sz w:val="32"/>
          <w:szCs w:val="32"/>
          <w:highlight w:val="none"/>
          <w:u w:val="none"/>
          <w:lang w:val="en-US" w:eastAsia="zh-CN"/>
        </w:rPr>
        <w:t>由区财政局（国资委）负责解释。</w:t>
      </w:r>
    </w:p>
    <w:p w14:paraId="0AD6265E">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第三十九条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监管企业受让上市公司股份事项，按照《上市公司国有股权监督管理办法》（国务院国资委、财政部、中国证监会第36号令）执行。</w:t>
      </w:r>
    </w:p>
    <w:p w14:paraId="7E1DF082">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第四十条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监管企业涉及国有上市公司投融资及担保事项的，按照中国证监会及上市证券交易所相关监管要求执行。</w:t>
      </w:r>
    </w:p>
    <w:p w14:paraId="494A38A0">
      <w:pPr>
        <w:keepNext w:val="0"/>
        <w:keepLines w:val="0"/>
        <w:pageBreakBefore w:val="0"/>
        <w:widowControl/>
        <w:suppressLineNumbers w:val="0"/>
        <w:shd w:val="clear"/>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rPr>
        <w:t xml:space="preserve">第四十一条 </w:t>
      </w:r>
      <w:r>
        <w:rPr>
          <w:rFonts w:hint="default" w:ascii="Times New Roman" w:hAnsi="Times New Roman" w:eastAsia="仿宋_GB2312" w:cs="Times New Roman"/>
          <w:b w:val="0"/>
          <w:bCs w:val="0"/>
          <w:color w:val="auto"/>
          <w:kern w:val="0"/>
          <w:sz w:val="32"/>
          <w:szCs w:val="32"/>
          <w:highlight w:val="none"/>
          <w:u w:val="none"/>
          <w:lang w:val="en-US" w:eastAsia="zh-CN"/>
        </w:rPr>
        <w:t xml:space="preserve"> 本</w:t>
      </w:r>
      <w:r>
        <w:rPr>
          <w:rFonts w:hint="eastAsia" w:ascii="Times New Roman" w:hAnsi="Times New Roman" w:eastAsia="仿宋_GB2312" w:cs="Times New Roman"/>
          <w:b w:val="0"/>
          <w:bCs w:val="0"/>
          <w:color w:val="auto"/>
          <w:kern w:val="0"/>
          <w:sz w:val="32"/>
          <w:szCs w:val="32"/>
          <w:highlight w:val="none"/>
          <w:u w:val="none"/>
          <w:lang w:val="en-US" w:eastAsia="zh-CN"/>
        </w:rPr>
        <w:t>规定</w:t>
      </w:r>
      <w:r>
        <w:rPr>
          <w:rFonts w:hint="default" w:ascii="Times New Roman" w:hAnsi="Times New Roman" w:eastAsia="仿宋_GB2312" w:cs="Times New Roman"/>
          <w:b w:val="0"/>
          <w:bCs w:val="0"/>
          <w:color w:val="auto"/>
          <w:kern w:val="0"/>
          <w:sz w:val="32"/>
          <w:szCs w:val="32"/>
          <w:highlight w:val="none"/>
          <w:u w:val="none"/>
          <w:lang w:val="en-US" w:eastAsia="zh-CN"/>
        </w:rPr>
        <w:t>自公布之日起施行。原《区财政局监管企业投资监督管理暂行办法》（独国资发〔2023〕53号）同时废止。</w:t>
      </w:r>
    </w:p>
    <w:p w14:paraId="422F7B3E">
      <w:pPr>
        <w:pStyle w:val="4"/>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highlight w:val="none"/>
          <w:u w:val="none"/>
          <w:lang w:val="en-US" w:eastAsia="zh-CN" w:bidi="ar-SA"/>
        </w:rPr>
      </w:pPr>
    </w:p>
    <w:p w14:paraId="58AAA2FF">
      <w:pPr>
        <w:pStyle w:val="4"/>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highlight w:val="none"/>
          <w:u w:val="none"/>
          <w:lang w:val="en-US" w:eastAsia="zh-CN" w:bidi="ar-SA"/>
        </w:rPr>
      </w:pPr>
    </w:p>
    <w:p w14:paraId="0D559928">
      <w:pPr>
        <w:pStyle w:val="4"/>
        <w:keepNext w:val="0"/>
        <w:keepLines w:val="0"/>
        <w:pageBreakBefore w:val="0"/>
        <w:kinsoku/>
        <w:wordWrap/>
        <w:overflowPunct/>
        <w:topLinePunct w:val="0"/>
        <w:autoSpaceDE/>
        <w:autoSpaceDN/>
        <w:bidi w:val="0"/>
        <w:adjustRightInd/>
        <w:snapToGrid/>
        <w:spacing w:line="560" w:lineRule="exact"/>
        <w:ind w:firstLine="3520" w:firstLineChars="1100"/>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克拉玛依市独山子区财政局</w:t>
      </w:r>
    </w:p>
    <w:p w14:paraId="17CA9ECA">
      <w:pPr>
        <w:pStyle w:val="4"/>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（克拉玛依市独山子区国有资产监督管理委员会）</w:t>
      </w:r>
    </w:p>
    <w:p w14:paraId="00FEC213">
      <w:pPr>
        <w:keepNext w:val="0"/>
        <w:keepLines w:val="0"/>
        <w:pageBreakBefore w:val="0"/>
        <w:kinsoku/>
        <w:wordWrap w:val="0"/>
        <w:overflowPunct/>
        <w:topLinePunct w:val="0"/>
        <w:autoSpaceDE/>
        <w:autoSpaceDN/>
        <w:bidi w:val="0"/>
        <w:adjustRightInd/>
        <w:snapToGrid/>
        <w:spacing w:line="560" w:lineRule="exact"/>
        <w:jc w:val="right"/>
        <w:textAlignment w:val="auto"/>
        <w:rPr>
          <w:rFonts w:hint="default" w:ascii="Times New Roman" w:hAnsi="Times New Roman" w:cs="Times New Roman"/>
          <w:color w:val="auto"/>
          <w:highlight w:val="none"/>
          <w:u w:val="none"/>
          <w:lang w:val="en-US"/>
        </w:rPr>
      </w:pPr>
      <w:r>
        <w:rPr>
          <w:rFonts w:hint="default" w:ascii="Times New Roman" w:hAnsi="Times New Roman" w:eastAsia="仿宋_GB2312" w:cs="Times New Roman"/>
          <w:color w:val="auto"/>
          <w:kern w:val="0"/>
          <w:sz w:val="32"/>
          <w:szCs w:val="32"/>
          <w:highlight w:val="none"/>
          <w:u w:val="none"/>
          <w:lang w:val="en-US" w:eastAsia="zh-CN" w:bidi="ar-SA"/>
        </w:rPr>
        <w:t xml:space="preserve">2026年6月15日              </w:t>
      </w:r>
    </w:p>
    <w:bookmarkEnd w:id="0"/>
    <w:sectPr>
      <w:footerReference r:id="rId3" w:type="default"/>
      <w:pgSz w:w="11906" w:h="16838"/>
      <w:pgMar w:top="2098" w:right="1531" w:bottom="1984" w:left="1531" w:header="851" w:footer="124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4BAEE6-B35E-42AA-90A5-2A0765D50D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ui text sc">
    <w:altName w:val="Segoe Print"/>
    <w:panose1 w:val="00000000000000000000"/>
    <w:charset w:val="00"/>
    <w:family w:val="auto"/>
    <w:pitch w:val="default"/>
    <w:sig w:usb0="00000000" w:usb1="00000000" w:usb2="00000000" w:usb3="00000000" w:csb0="00000000" w:csb1="00000000"/>
  </w:font>
  <w:font w:name=".PingFangUITextSC-Regular">
    <w:altName w:val="Segoe Print"/>
    <w:panose1 w:val="00000000000000000000"/>
    <w:charset w:val="00"/>
    <w:family w:val="auto"/>
    <w:pitch w:val="default"/>
    <w:sig w:usb0="00000000" w:usb1="00000000" w:usb2="00000000" w:usb3="00000000" w:csb0="00000000" w:csb1="00000000"/>
  </w:font>
  <w:font w:name=".SFUI-Regular">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embedRegular r:id="rId2" w:fontKey="{BCDFE39E-394A-4D33-BBEE-BED28363AC42}"/>
  </w:font>
  <w:font w:name="仿宋_GB2312">
    <w:panose1 w:val="02010609030101010101"/>
    <w:charset w:val="86"/>
    <w:family w:val="modern"/>
    <w:pitch w:val="default"/>
    <w:sig w:usb0="00000001" w:usb1="080E0000" w:usb2="00000000" w:usb3="00000000" w:csb0="00040000" w:csb1="00000000"/>
    <w:embedRegular r:id="rId3" w:fontKey="{D1FEC66A-8D03-41C0-85E9-8B4D8E4EC9DA}"/>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0D01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C7B7E">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8C7B7E">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F516E"/>
    <w:rsid w:val="00540FE8"/>
    <w:rsid w:val="008C3097"/>
    <w:rsid w:val="00CE4F03"/>
    <w:rsid w:val="00E06C5D"/>
    <w:rsid w:val="00E645F8"/>
    <w:rsid w:val="01092632"/>
    <w:rsid w:val="01161381"/>
    <w:rsid w:val="011C0850"/>
    <w:rsid w:val="01235E37"/>
    <w:rsid w:val="01317F69"/>
    <w:rsid w:val="01371778"/>
    <w:rsid w:val="01451184"/>
    <w:rsid w:val="014D0B1B"/>
    <w:rsid w:val="01574CF0"/>
    <w:rsid w:val="015F3DD2"/>
    <w:rsid w:val="016615C1"/>
    <w:rsid w:val="01676CDD"/>
    <w:rsid w:val="017936BE"/>
    <w:rsid w:val="019112F3"/>
    <w:rsid w:val="01922F90"/>
    <w:rsid w:val="01943F27"/>
    <w:rsid w:val="019B3634"/>
    <w:rsid w:val="01CF6FC0"/>
    <w:rsid w:val="01D54D98"/>
    <w:rsid w:val="01DE14F7"/>
    <w:rsid w:val="020F7B7E"/>
    <w:rsid w:val="022C0343"/>
    <w:rsid w:val="027520D7"/>
    <w:rsid w:val="02A05C6C"/>
    <w:rsid w:val="02C848FD"/>
    <w:rsid w:val="02CB2C9A"/>
    <w:rsid w:val="02FB5FAA"/>
    <w:rsid w:val="03173601"/>
    <w:rsid w:val="032D7D1B"/>
    <w:rsid w:val="03367AB9"/>
    <w:rsid w:val="033D1262"/>
    <w:rsid w:val="03546BC6"/>
    <w:rsid w:val="035F762B"/>
    <w:rsid w:val="036A29CA"/>
    <w:rsid w:val="036B6FAE"/>
    <w:rsid w:val="036D5065"/>
    <w:rsid w:val="0374413D"/>
    <w:rsid w:val="037B760F"/>
    <w:rsid w:val="03CE7CF1"/>
    <w:rsid w:val="03DC590B"/>
    <w:rsid w:val="040453C6"/>
    <w:rsid w:val="04171C7C"/>
    <w:rsid w:val="041F513B"/>
    <w:rsid w:val="048263AD"/>
    <w:rsid w:val="04BA510D"/>
    <w:rsid w:val="04E338F3"/>
    <w:rsid w:val="050B49CE"/>
    <w:rsid w:val="05517DA6"/>
    <w:rsid w:val="059C5085"/>
    <w:rsid w:val="05B522EC"/>
    <w:rsid w:val="05BA474E"/>
    <w:rsid w:val="05C87ECE"/>
    <w:rsid w:val="05D65E57"/>
    <w:rsid w:val="05D9472B"/>
    <w:rsid w:val="05DC01E5"/>
    <w:rsid w:val="05FA65DA"/>
    <w:rsid w:val="05FD3D76"/>
    <w:rsid w:val="061613E3"/>
    <w:rsid w:val="06252E2F"/>
    <w:rsid w:val="06326DF2"/>
    <w:rsid w:val="063A5B78"/>
    <w:rsid w:val="065B01C6"/>
    <w:rsid w:val="0687687D"/>
    <w:rsid w:val="06AF0733"/>
    <w:rsid w:val="06C7057B"/>
    <w:rsid w:val="06D27AF8"/>
    <w:rsid w:val="07067B88"/>
    <w:rsid w:val="070B10A0"/>
    <w:rsid w:val="07221552"/>
    <w:rsid w:val="072E0AA7"/>
    <w:rsid w:val="073F4A62"/>
    <w:rsid w:val="07462486"/>
    <w:rsid w:val="07764EA6"/>
    <w:rsid w:val="078C3CD4"/>
    <w:rsid w:val="07C02047"/>
    <w:rsid w:val="08030360"/>
    <w:rsid w:val="080D4B60"/>
    <w:rsid w:val="080E5B2E"/>
    <w:rsid w:val="08103D20"/>
    <w:rsid w:val="081B105B"/>
    <w:rsid w:val="082E1AFD"/>
    <w:rsid w:val="089F3351"/>
    <w:rsid w:val="09170DC3"/>
    <w:rsid w:val="09646EC3"/>
    <w:rsid w:val="096B7D90"/>
    <w:rsid w:val="098A46BA"/>
    <w:rsid w:val="09903C9B"/>
    <w:rsid w:val="099E467D"/>
    <w:rsid w:val="09A03B21"/>
    <w:rsid w:val="09BC4A90"/>
    <w:rsid w:val="09E93008"/>
    <w:rsid w:val="0A3930ED"/>
    <w:rsid w:val="0A3C34DB"/>
    <w:rsid w:val="0AC423F6"/>
    <w:rsid w:val="0AC728D5"/>
    <w:rsid w:val="0B071D3B"/>
    <w:rsid w:val="0B5163B6"/>
    <w:rsid w:val="0B8E5A97"/>
    <w:rsid w:val="0BB05F2E"/>
    <w:rsid w:val="0BB17874"/>
    <w:rsid w:val="0BC2061F"/>
    <w:rsid w:val="0BCF6033"/>
    <w:rsid w:val="0BE1300A"/>
    <w:rsid w:val="0BF202F5"/>
    <w:rsid w:val="0C14778C"/>
    <w:rsid w:val="0C1A784C"/>
    <w:rsid w:val="0C395F24"/>
    <w:rsid w:val="0C74181A"/>
    <w:rsid w:val="0C7A78E7"/>
    <w:rsid w:val="0C7B653C"/>
    <w:rsid w:val="0C8E2F36"/>
    <w:rsid w:val="0C8E39AF"/>
    <w:rsid w:val="0C935F81"/>
    <w:rsid w:val="0CAC326D"/>
    <w:rsid w:val="0CB85C2E"/>
    <w:rsid w:val="0CBF682B"/>
    <w:rsid w:val="0D23071F"/>
    <w:rsid w:val="0D974736"/>
    <w:rsid w:val="0DA5395C"/>
    <w:rsid w:val="0DD431BA"/>
    <w:rsid w:val="0DD8176C"/>
    <w:rsid w:val="0DE20055"/>
    <w:rsid w:val="0DF2220C"/>
    <w:rsid w:val="0DF920F4"/>
    <w:rsid w:val="0E206D34"/>
    <w:rsid w:val="0E314854"/>
    <w:rsid w:val="0E7247D6"/>
    <w:rsid w:val="0E7F623D"/>
    <w:rsid w:val="0E85203D"/>
    <w:rsid w:val="0E963B01"/>
    <w:rsid w:val="0EAC6E81"/>
    <w:rsid w:val="0EC30DBF"/>
    <w:rsid w:val="0EDC703A"/>
    <w:rsid w:val="0F3B6613"/>
    <w:rsid w:val="0F3C6BA1"/>
    <w:rsid w:val="0F4C0D52"/>
    <w:rsid w:val="0F655282"/>
    <w:rsid w:val="0F7B6853"/>
    <w:rsid w:val="0F8C6183"/>
    <w:rsid w:val="0FA61B22"/>
    <w:rsid w:val="0FE16FFE"/>
    <w:rsid w:val="10091675"/>
    <w:rsid w:val="10284558"/>
    <w:rsid w:val="102A440C"/>
    <w:rsid w:val="103A226A"/>
    <w:rsid w:val="106C4C50"/>
    <w:rsid w:val="109B245A"/>
    <w:rsid w:val="10D5322F"/>
    <w:rsid w:val="110E722F"/>
    <w:rsid w:val="114B20CB"/>
    <w:rsid w:val="11A71AC4"/>
    <w:rsid w:val="11B23FD5"/>
    <w:rsid w:val="12037ABB"/>
    <w:rsid w:val="120476A6"/>
    <w:rsid w:val="1207774E"/>
    <w:rsid w:val="12124F4B"/>
    <w:rsid w:val="12183CEE"/>
    <w:rsid w:val="12590334"/>
    <w:rsid w:val="12861C6E"/>
    <w:rsid w:val="1292521C"/>
    <w:rsid w:val="1293330F"/>
    <w:rsid w:val="12AE045B"/>
    <w:rsid w:val="12CF4C08"/>
    <w:rsid w:val="12D06EB6"/>
    <w:rsid w:val="12D95863"/>
    <w:rsid w:val="12EC0194"/>
    <w:rsid w:val="12F72090"/>
    <w:rsid w:val="1307697B"/>
    <w:rsid w:val="132A2CA6"/>
    <w:rsid w:val="132D3FCE"/>
    <w:rsid w:val="13593789"/>
    <w:rsid w:val="135B1AD8"/>
    <w:rsid w:val="136C3083"/>
    <w:rsid w:val="13834E83"/>
    <w:rsid w:val="1389222E"/>
    <w:rsid w:val="13893144"/>
    <w:rsid w:val="13A20852"/>
    <w:rsid w:val="13B025B9"/>
    <w:rsid w:val="13E42391"/>
    <w:rsid w:val="13F07810"/>
    <w:rsid w:val="13F22D5D"/>
    <w:rsid w:val="14103A0E"/>
    <w:rsid w:val="143B5ABD"/>
    <w:rsid w:val="14483D8C"/>
    <w:rsid w:val="144F2843"/>
    <w:rsid w:val="1455356B"/>
    <w:rsid w:val="149C2741"/>
    <w:rsid w:val="14A76F1F"/>
    <w:rsid w:val="14B32697"/>
    <w:rsid w:val="14BA7E1E"/>
    <w:rsid w:val="14D47131"/>
    <w:rsid w:val="14E91F09"/>
    <w:rsid w:val="1505553D"/>
    <w:rsid w:val="150F3CC6"/>
    <w:rsid w:val="153B1A5C"/>
    <w:rsid w:val="157C5B7B"/>
    <w:rsid w:val="159C028A"/>
    <w:rsid w:val="15B61B10"/>
    <w:rsid w:val="15BF2367"/>
    <w:rsid w:val="15C1635E"/>
    <w:rsid w:val="15D1043A"/>
    <w:rsid w:val="15E5721A"/>
    <w:rsid w:val="15F83E77"/>
    <w:rsid w:val="16074D7B"/>
    <w:rsid w:val="1624263A"/>
    <w:rsid w:val="162C08A7"/>
    <w:rsid w:val="164751FE"/>
    <w:rsid w:val="164976AB"/>
    <w:rsid w:val="1662725D"/>
    <w:rsid w:val="16721E7C"/>
    <w:rsid w:val="168144C9"/>
    <w:rsid w:val="16993E17"/>
    <w:rsid w:val="16EA17B8"/>
    <w:rsid w:val="16EE2D85"/>
    <w:rsid w:val="170D692B"/>
    <w:rsid w:val="172D605E"/>
    <w:rsid w:val="17335E24"/>
    <w:rsid w:val="176D0D40"/>
    <w:rsid w:val="17716EB9"/>
    <w:rsid w:val="17C90AA4"/>
    <w:rsid w:val="17E7717C"/>
    <w:rsid w:val="17F65BC6"/>
    <w:rsid w:val="180310B9"/>
    <w:rsid w:val="183A54FD"/>
    <w:rsid w:val="186453D5"/>
    <w:rsid w:val="18801D69"/>
    <w:rsid w:val="18975246"/>
    <w:rsid w:val="18D363E8"/>
    <w:rsid w:val="18DC51C8"/>
    <w:rsid w:val="18F02060"/>
    <w:rsid w:val="18F0644B"/>
    <w:rsid w:val="1901554E"/>
    <w:rsid w:val="190A51FF"/>
    <w:rsid w:val="192E299C"/>
    <w:rsid w:val="19550776"/>
    <w:rsid w:val="19573E8D"/>
    <w:rsid w:val="197E73EB"/>
    <w:rsid w:val="19A967CB"/>
    <w:rsid w:val="19CB5CDA"/>
    <w:rsid w:val="1A0E3515"/>
    <w:rsid w:val="1A517F91"/>
    <w:rsid w:val="1A5819F5"/>
    <w:rsid w:val="1A6A7BF0"/>
    <w:rsid w:val="1A7B0127"/>
    <w:rsid w:val="1AAE1CE9"/>
    <w:rsid w:val="1AE3072E"/>
    <w:rsid w:val="1AEE0821"/>
    <w:rsid w:val="1B4055AC"/>
    <w:rsid w:val="1B410951"/>
    <w:rsid w:val="1B8D153C"/>
    <w:rsid w:val="1BA55384"/>
    <w:rsid w:val="1BB133B9"/>
    <w:rsid w:val="1BBA4D10"/>
    <w:rsid w:val="1BC53330"/>
    <w:rsid w:val="1BF96950"/>
    <w:rsid w:val="1BFD6F6E"/>
    <w:rsid w:val="1C5D0F51"/>
    <w:rsid w:val="1C804A3B"/>
    <w:rsid w:val="1CA314FB"/>
    <w:rsid w:val="1D1D0FA8"/>
    <w:rsid w:val="1D3363DE"/>
    <w:rsid w:val="1D456EAB"/>
    <w:rsid w:val="1D6F292F"/>
    <w:rsid w:val="1D707149"/>
    <w:rsid w:val="1D8D7EAA"/>
    <w:rsid w:val="1DB36426"/>
    <w:rsid w:val="1DB47B00"/>
    <w:rsid w:val="1DC419FC"/>
    <w:rsid w:val="1DDA6565"/>
    <w:rsid w:val="1DDF2A42"/>
    <w:rsid w:val="1DF27665"/>
    <w:rsid w:val="1E1265D5"/>
    <w:rsid w:val="1E615834"/>
    <w:rsid w:val="1E62123C"/>
    <w:rsid w:val="1E767CD6"/>
    <w:rsid w:val="1E86713C"/>
    <w:rsid w:val="1E894AE9"/>
    <w:rsid w:val="1EDF295B"/>
    <w:rsid w:val="1EF778A4"/>
    <w:rsid w:val="1EFF229D"/>
    <w:rsid w:val="1F1B2101"/>
    <w:rsid w:val="1F2F1F29"/>
    <w:rsid w:val="1F3A1CC8"/>
    <w:rsid w:val="1F422EEA"/>
    <w:rsid w:val="1F4956E7"/>
    <w:rsid w:val="1F511C17"/>
    <w:rsid w:val="1FB854FF"/>
    <w:rsid w:val="1FBA6951"/>
    <w:rsid w:val="1FD728BE"/>
    <w:rsid w:val="20140D2A"/>
    <w:rsid w:val="20193ECC"/>
    <w:rsid w:val="201B206A"/>
    <w:rsid w:val="20211257"/>
    <w:rsid w:val="203501F6"/>
    <w:rsid w:val="20717F2A"/>
    <w:rsid w:val="20952E4D"/>
    <w:rsid w:val="20B63B8F"/>
    <w:rsid w:val="20B86041"/>
    <w:rsid w:val="20C05E50"/>
    <w:rsid w:val="20CA763A"/>
    <w:rsid w:val="20F8721D"/>
    <w:rsid w:val="20FB17E4"/>
    <w:rsid w:val="21026DD4"/>
    <w:rsid w:val="21191FCF"/>
    <w:rsid w:val="211F34E2"/>
    <w:rsid w:val="21205F36"/>
    <w:rsid w:val="21233B6B"/>
    <w:rsid w:val="214E697E"/>
    <w:rsid w:val="21555705"/>
    <w:rsid w:val="21817CF9"/>
    <w:rsid w:val="21C02D4B"/>
    <w:rsid w:val="21CE5D71"/>
    <w:rsid w:val="21D818E3"/>
    <w:rsid w:val="21E40288"/>
    <w:rsid w:val="22001D39"/>
    <w:rsid w:val="22300110"/>
    <w:rsid w:val="22367A8A"/>
    <w:rsid w:val="22737BD2"/>
    <w:rsid w:val="22B454EC"/>
    <w:rsid w:val="22C00CF5"/>
    <w:rsid w:val="22DF2CA9"/>
    <w:rsid w:val="22E10E82"/>
    <w:rsid w:val="231F3E68"/>
    <w:rsid w:val="23264FFC"/>
    <w:rsid w:val="232F00EA"/>
    <w:rsid w:val="233409C8"/>
    <w:rsid w:val="233B1716"/>
    <w:rsid w:val="23654DA7"/>
    <w:rsid w:val="236B5C19"/>
    <w:rsid w:val="236E23E2"/>
    <w:rsid w:val="237B192E"/>
    <w:rsid w:val="23804413"/>
    <w:rsid w:val="238D6BC3"/>
    <w:rsid w:val="23A13D77"/>
    <w:rsid w:val="23CE2F9E"/>
    <w:rsid w:val="23D67228"/>
    <w:rsid w:val="23E872D4"/>
    <w:rsid w:val="23F6340C"/>
    <w:rsid w:val="241B52D0"/>
    <w:rsid w:val="24316936"/>
    <w:rsid w:val="24331F09"/>
    <w:rsid w:val="24373F51"/>
    <w:rsid w:val="245165E7"/>
    <w:rsid w:val="24810A31"/>
    <w:rsid w:val="248125A7"/>
    <w:rsid w:val="24AC5084"/>
    <w:rsid w:val="24B30B11"/>
    <w:rsid w:val="24DD5B8E"/>
    <w:rsid w:val="24E76974"/>
    <w:rsid w:val="2507377E"/>
    <w:rsid w:val="251D566C"/>
    <w:rsid w:val="25494FD2"/>
    <w:rsid w:val="256406CB"/>
    <w:rsid w:val="25812E6F"/>
    <w:rsid w:val="259479BC"/>
    <w:rsid w:val="25F807A6"/>
    <w:rsid w:val="260D3CBD"/>
    <w:rsid w:val="26182BD4"/>
    <w:rsid w:val="26247A14"/>
    <w:rsid w:val="262D404C"/>
    <w:rsid w:val="26405A11"/>
    <w:rsid w:val="26463B3C"/>
    <w:rsid w:val="265B3151"/>
    <w:rsid w:val="2671432A"/>
    <w:rsid w:val="2677791D"/>
    <w:rsid w:val="268E187E"/>
    <w:rsid w:val="2699711B"/>
    <w:rsid w:val="26D018DD"/>
    <w:rsid w:val="26EC0A21"/>
    <w:rsid w:val="270C4509"/>
    <w:rsid w:val="271E18F0"/>
    <w:rsid w:val="27200974"/>
    <w:rsid w:val="272730F1"/>
    <w:rsid w:val="27642706"/>
    <w:rsid w:val="277F6CFA"/>
    <w:rsid w:val="27983FEE"/>
    <w:rsid w:val="27B4466B"/>
    <w:rsid w:val="27DA0163"/>
    <w:rsid w:val="27EE1E60"/>
    <w:rsid w:val="27F60D15"/>
    <w:rsid w:val="27F751B9"/>
    <w:rsid w:val="280B2A12"/>
    <w:rsid w:val="280E65D3"/>
    <w:rsid w:val="28115821"/>
    <w:rsid w:val="28445000"/>
    <w:rsid w:val="284C5840"/>
    <w:rsid w:val="28621E4D"/>
    <w:rsid w:val="28F2659B"/>
    <w:rsid w:val="28F7325D"/>
    <w:rsid w:val="29200286"/>
    <w:rsid w:val="29271AA1"/>
    <w:rsid w:val="296C584D"/>
    <w:rsid w:val="2974221D"/>
    <w:rsid w:val="297B3247"/>
    <w:rsid w:val="29BD271E"/>
    <w:rsid w:val="29C70D19"/>
    <w:rsid w:val="29CB06AB"/>
    <w:rsid w:val="29CD2CBB"/>
    <w:rsid w:val="29D357B2"/>
    <w:rsid w:val="2A1C444E"/>
    <w:rsid w:val="2A1F3E3F"/>
    <w:rsid w:val="2A28676B"/>
    <w:rsid w:val="2A4265EC"/>
    <w:rsid w:val="2A584362"/>
    <w:rsid w:val="2A621027"/>
    <w:rsid w:val="2A7338CB"/>
    <w:rsid w:val="2A8D2766"/>
    <w:rsid w:val="2A8E3487"/>
    <w:rsid w:val="2AA32FDC"/>
    <w:rsid w:val="2AB41D3E"/>
    <w:rsid w:val="2ACD3FAF"/>
    <w:rsid w:val="2ADD43A3"/>
    <w:rsid w:val="2AE07641"/>
    <w:rsid w:val="2B265512"/>
    <w:rsid w:val="2B404781"/>
    <w:rsid w:val="2B485C15"/>
    <w:rsid w:val="2B603AFF"/>
    <w:rsid w:val="2B655237"/>
    <w:rsid w:val="2BC52ED8"/>
    <w:rsid w:val="2BD521D1"/>
    <w:rsid w:val="2BE81D7E"/>
    <w:rsid w:val="2BED66EB"/>
    <w:rsid w:val="2BF67536"/>
    <w:rsid w:val="2C057779"/>
    <w:rsid w:val="2C1B388D"/>
    <w:rsid w:val="2C2E31BB"/>
    <w:rsid w:val="2C545D7C"/>
    <w:rsid w:val="2C6F63AA"/>
    <w:rsid w:val="2C834431"/>
    <w:rsid w:val="2CC9212B"/>
    <w:rsid w:val="2CD94E8D"/>
    <w:rsid w:val="2CE914C1"/>
    <w:rsid w:val="2D04536F"/>
    <w:rsid w:val="2D3A58D6"/>
    <w:rsid w:val="2D3B71AD"/>
    <w:rsid w:val="2D4F514F"/>
    <w:rsid w:val="2D5850BF"/>
    <w:rsid w:val="2D825525"/>
    <w:rsid w:val="2D9B65E7"/>
    <w:rsid w:val="2D9F3E31"/>
    <w:rsid w:val="2DD2379B"/>
    <w:rsid w:val="2DD33EBD"/>
    <w:rsid w:val="2DD41F4B"/>
    <w:rsid w:val="2E0A6617"/>
    <w:rsid w:val="2E17533E"/>
    <w:rsid w:val="2E2E58CB"/>
    <w:rsid w:val="2E3509CE"/>
    <w:rsid w:val="2E3C2DB1"/>
    <w:rsid w:val="2E437539"/>
    <w:rsid w:val="2E4A6BA5"/>
    <w:rsid w:val="2E8A1B18"/>
    <w:rsid w:val="2E8F126F"/>
    <w:rsid w:val="2EDD67EE"/>
    <w:rsid w:val="2F2443BA"/>
    <w:rsid w:val="2F3960FB"/>
    <w:rsid w:val="2F3F2FA2"/>
    <w:rsid w:val="2F5F0008"/>
    <w:rsid w:val="2FA379D4"/>
    <w:rsid w:val="2FAA0D63"/>
    <w:rsid w:val="2FBC45F2"/>
    <w:rsid w:val="2FDD4865"/>
    <w:rsid w:val="2FED5F6E"/>
    <w:rsid w:val="2FFD5337"/>
    <w:rsid w:val="2FFD70E5"/>
    <w:rsid w:val="300246FB"/>
    <w:rsid w:val="300F506A"/>
    <w:rsid w:val="305C4F4D"/>
    <w:rsid w:val="306D3B35"/>
    <w:rsid w:val="307153DD"/>
    <w:rsid w:val="308C0523"/>
    <w:rsid w:val="30A43BA6"/>
    <w:rsid w:val="30E107B4"/>
    <w:rsid w:val="30E24890"/>
    <w:rsid w:val="31093867"/>
    <w:rsid w:val="310A52AA"/>
    <w:rsid w:val="31490108"/>
    <w:rsid w:val="314F242E"/>
    <w:rsid w:val="3198521E"/>
    <w:rsid w:val="31C52D59"/>
    <w:rsid w:val="31D76943"/>
    <w:rsid w:val="31E367AE"/>
    <w:rsid w:val="32004C6A"/>
    <w:rsid w:val="3220530C"/>
    <w:rsid w:val="324F79A0"/>
    <w:rsid w:val="3287138D"/>
    <w:rsid w:val="329655CE"/>
    <w:rsid w:val="32C35228"/>
    <w:rsid w:val="33242BDA"/>
    <w:rsid w:val="332845B6"/>
    <w:rsid w:val="332C4AA7"/>
    <w:rsid w:val="334515C0"/>
    <w:rsid w:val="334A0BB7"/>
    <w:rsid w:val="33E87939"/>
    <w:rsid w:val="33EC7B9C"/>
    <w:rsid w:val="34033B72"/>
    <w:rsid w:val="34082266"/>
    <w:rsid w:val="34082407"/>
    <w:rsid w:val="343C19FF"/>
    <w:rsid w:val="347061AA"/>
    <w:rsid w:val="3486482E"/>
    <w:rsid w:val="348E26D0"/>
    <w:rsid w:val="348E3489"/>
    <w:rsid w:val="34BF33C5"/>
    <w:rsid w:val="35051ABD"/>
    <w:rsid w:val="35134CB4"/>
    <w:rsid w:val="351A5103"/>
    <w:rsid w:val="35245113"/>
    <w:rsid w:val="355408AC"/>
    <w:rsid w:val="35615EFC"/>
    <w:rsid w:val="357D4806"/>
    <w:rsid w:val="358975B9"/>
    <w:rsid w:val="35C54A33"/>
    <w:rsid w:val="35D11B70"/>
    <w:rsid w:val="35E6686D"/>
    <w:rsid w:val="362D7FF8"/>
    <w:rsid w:val="36353F83"/>
    <w:rsid w:val="36624145"/>
    <w:rsid w:val="366C1DAE"/>
    <w:rsid w:val="36724CB7"/>
    <w:rsid w:val="367571F9"/>
    <w:rsid w:val="367818A9"/>
    <w:rsid w:val="368B6521"/>
    <w:rsid w:val="36976654"/>
    <w:rsid w:val="36B97ADD"/>
    <w:rsid w:val="36CB1900"/>
    <w:rsid w:val="36DE21C1"/>
    <w:rsid w:val="36E903C3"/>
    <w:rsid w:val="3718172F"/>
    <w:rsid w:val="37261FCF"/>
    <w:rsid w:val="372C3566"/>
    <w:rsid w:val="37551F49"/>
    <w:rsid w:val="376E2012"/>
    <w:rsid w:val="378E2D18"/>
    <w:rsid w:val="37971BCD"/>
    <w:rsid w:val="379D33D0"/>
    <w:rsid w:val="37BF7375"/>
    <w:rsid w:val="37DC1858"/>
    <w:rsid w:val="37E64C41"/>
    <w:rsid w:val="37F708B1"/>
    <w:rsid w:val="3809239F"/>
    <w:rsid w:val="38521CF7"/>
    <w:rsid w:val="387022E7"/>
    <w:rsid w:val="387B329C"/>
    <w:rsid w:val="388318F9"/>
    <w:rsid w:val="38A64AE0"/>
    <w:rsid w:val="38AA7AAE"/>
    <w:rsid w:val="38D3486A"/>
    <w:rsid w:val="38E057F5"/>
    <w:rsid w:val="39055B5A"/>
    <w:rsid w:val="390B0AC4"/>
    <w:rsid w:val="39105A21"/>
    <w:rsid w:val="391334D5"/>
    <w:rsid w:val="393D49F6"/>
    <w:rsid w:val="39562F52"/>
    <w:rsid w:val="39E9692C"/>
    <w:rsid w:val="39EF3F42"/>
    <w:rsid w:val="3A1E0ABD"/>
    <w:rsid w:val="3A325BDD"/>
    <w:rsid w:val="3A451D96"/>
    <w:rsid w:val="3A7C09E5"/>
    <w:rsid w:val="3A855E37"/>
    <w:rsid w:val="3AB2110F"/>
    <w:rsid w:val="3ADF67F8"/>
    <w:rsid w:val="3AEB20E5"/>
    <w:rsid w:val="3AEE1C00"/>
    <w:rsid w:val="3B08448A"/>
    <w:rsid w:val="3B40257B"/>
    <w:rsid w:val="3B462AC1"/>
    <w:rsid w:val="3B5D137F"/>
    <w:rsid w:val="3B717104"/>
    <w:rsid w:val="3B857C98"/>
    <w:rsid w:val="3B9C4E79"/>
    <w:rsid w:val="3BA96372"/>
    <w:rsid w:val="3BB528D5"/>
    <w:rsid w:val="3BD51D17"/>
    <w:rsid w:val="3BF743C4"/>
    <w:rsid w:val="3C300856"/>
    <w:rsid w:val="3C3F33B4"/>
    <w:rsid w:val="3C591B47"/>
    <w:rsid w:val="3C63058A"/>
    <w:rsid w:val="3C644E63"/>
    <w:rsid w:val="3C8E445B"/>
    <w:rsid w:val="3CAE012F"/>
    <w:rsid w:val="3CCA3AC8"/>
    <w:rsid w:val="3CE46B0D"/>
    <w:rsid w:val="3CF45A67"/>
    <w:rsid w:val="3CF5326E"/>
    <w:rsid w:val="3D1B50F5"/>
    <w:rsid w:val="3D263D15"/>
    <w:rsid w:val="3D927521"/>
    <w:rsid w:val="3DAA0180"/>
    <w:rsid w:val="3DAD1A39"/>
    <w:rsid w:val="3DCA4932"/>
    <w:rsid w:val="3E1B1B0E"/>
    <w:rsid w:val="3E3D113E"/>
    <w:rsid w:val="3E4F64F3"/>
    <w:rsid w:val="3E587BDC"/>
    <w:rsid w:val="3E84581E"/>
    <w:rsid w:val="3ED76AB5"/>
    <w:rsid w:val="3EE35C16"/>
    <w:rsid w:val="3EF274E9"/>
    <w:rsid w:val="3F361100"/>
    <w:rsid w:val="3F49482D"/>
    <w:rsid w:val="3F502BFA"/>
    <w:rsid w:val="3F6F25DB"/>
    <w:rsid w:val="3F8075AD"/>
    <w:rsid w:val="3FE8335F"/>
    <w:rsid w:val="3FFD0D04"/>
    <w:rsid w:val="402042BA"/>
    <w:rsid w:val="40207DC4"/>
    <w:rsid w:val="40493C80"/>
    <w:rsid w:val="40623CCD"/>
    <w:rsid w:val="40A820D2"/>
    <w:rsid w:val="40CD467D"/>
    <w:rsid w:val="40FA31CC"/>
    <w:rsid w:val="410127AD"/>
    <w:rsid w:val="410B7187"/>
    <w:rsid w:val="41474664"/>
    <w:rsid w:val="41572EDD"/>
    <w:rsid w:val="419B2606"/>
    <w:rsid w:val="41A53C01"/>
    <w:rsid w:val="41BB6E00"/>
    <w:rsid w:val="41E719A3"/>
    <w:rsid w:val="4220362C"/>
    <w:rsid w:val="42505F38"/>
    <w:rsid w:val="425C0969"/>
    <w:rsid w:val="426A3003"/>
    <w:rsid w:val="42842744"/>
    <w:rsid w:val="42AE012E"/>
    <w:rsid w:val="42B9132B"/>
    <w:rsid w:val="42C13892"/>
    <w:rsid w:val="42CC6A1F"/>
    <w:rsid w:val="42ED2FE9"/>
    <w:rsid w:val="43386B8A"/>
    <w:rsid w:val="43452461"/>
    <w:rsid w:val="435804DA"/>
    <w:rsid w:val="43663830"/>
    <w:rsid w:val="436D4129"/>
    <w:rsid w:val="436E00DE"/>
    <w:rsid w:val="438070FC"/>
    <w:rsid w:val="438265F2"/>
    <w:rsid w:val="43882D11"/>
    <w:rsid w:val="439E0787"/>
    <w:rsid w:val="439E4BA8"/>
    <w:rsid w:val="43A115DC"/>
    <w:rsid w:val="43A248B6"/>
    <w:rsid w:val="43C33D49"/>
    <w:rsid w:val="43C70FA4"/>
    <w:rsid w:val="43C81F3E"/>
    <w:rsid w:val="43D16466"/>
    <w:rsid w:val="43E32C16"/>
    <w:rsid w:val="43FE4D82"/>
    <w:rsid w:val="441B5933"/>
    <w:rsid w:val="442E1B0B"/>
    <w:rsid w:val="4430055E"/>
    <w:rsid w:val="44384737"/>
    <w:rsid w:val="448B50F0"/>
    <w:rsid w:val="4496795A"/>
    <w:rsid w:val="44B10051"/>
    <w:rsid w:val="44DE708D"/>
    <w:rsid w:val="44E328F5"/>
    <w:rsid w:val="454964D0"/>
    <w:rsid w:val="456B7AD0"/>
    <w:rsid w:val="459528B4"/>
    <w:rsid w:val="45A71B75"/>
    <w:rsid w:val="45E53379"/>
    <w:rsid w:val="460D1D71"/>
    <w:rsid w:val="461E170B"/>
    <w:rsid w:val="462C765D"/>
    <w:rsid w:val="4632659C"/>
    <w:rsid w:val="463852B9"/>
    <w:rsid w:val="46440D47"/>
    <w:rsid w:val="465A4338"/>
    <w:rsid w:val="4677113D"/>
    <w:rsid w:val="46876705"/>
    <w:rsid w:val="468A1B52"/>
    <w:rsid w:val="46CF0F0E"/>
    <w:rsid w:val="46E75FA1"/>
    <w:rsid w:val="47046B53"/>
    <w:rsid w:val="47056F72"/>
    <w:rsid w:val="47086605"/>
    <w:rsid w:val="47411B55"/>
    <w:rsid w:val="477076CC"/>
    <w:rsid w:val="4797419D"/>
    <w:rsid w:val="47A17F4D"/>
    <w:rsid w:val="47A85730"/>
    <w:rsid w:val="47D17E5A"/>
    <w:rsid w:val="47D77F64"/>
    <w:rsid w:val="47DC0277"/>
    <w:rsid w:val="47F00E85"/>
    <w:rsid w:val="47F03E6C"/>
    <w:rsid w:val="48002EF7"/>
    <w:rsid w:val="480A1F47"/>
    <w:rsid w:val="481607C6"/>
    <w:rsid w:val="4879404B"/>
    <w:rsid w:val="487F1892"/>
    <w:rsid w:val="488C32A4"/>
    <w:rsid w:val="48A00C50"/>
    <w:rsid w:val="48BB660B"/>
    <w:rsid w:val="48CB3DCC"/>
    <w:rsid w:val="48F0179E"/>
    <w:rsid w:val="48F826E7"/>
    <w:rsid w:val="490746D8"/>
    <w:rsid w:val="49092A56"/>
    <w:rsid w:val="492624A4"/>
    <w:rsid w:val="493928A8"/>
    <w:rsid w:val="495518E8"/>
    <w:rsid w:val="49755AE6"/>
    <w:rsid w:val="497C57B4"/>
    <w:rsid w:val="498F5A5D"/>
    <w:rsid w:val="49904D7D"/>
    <w:rsid w:val="49956188"/>
    <w:rsid w:val="499B0852"/>
    <w:rsid w:val="49A60395"/>
    <w:rsid w:val="49F7016A"/>
    <w:rsid w:val="49F8316C"/>
    <w:rsid w:val="4A1962B3"/>
    <w:rsid w:val="4A6663C2"/>
    <w:rsid w:val="4A9466A7"/>
    <w:rsid w:val="4AA848EE"/>
    <w:rsid w:val="4AAC19DB"/>
    <w:rsid w:val="4AB52735"/>
    <w:rsid w:val="4ABB18DE"/>
    <w:rsid w:val="4B1663CF"/>
    <w:rsid w:val="4B1A4B47"/>
    <w:rsid w:val="4B1A6945"/>
    <w:rsid w:val="4B3875B9"/>
    <w:rsid w:val="4B3D0885"/>
    <w:rsid w:val="4B557DB4"/>
    <w:rsid w:val="4B595521"/>
    <w:rsid w:val="4B7676B0"/>
    <w:rsid w:val="4B7F49FA"/>
    <w:rsid w:val="4BAB3A41"/>
    <w:rsid w:val="4BB46D99"/>
    <w:rsid w:val="4BF22061"/>
    <w:rsid w:val="4C53636C"/>
    <w:rsid w:val="4C76193F"/>
    <w:rsid w:val="4C796220"/>
    <w:rsid w:val="4C9170DB"/>
    <w:rsid w:val="4CE63510"/>
    <w:rsid w:val="4D0C050F"/>
    <w:rsid w:val="4D0E24D9"/>
    <w:rsid w:val="4D1A2C2C"/>
    <w:rsid w:val="4D486191"/>
    <w:rsid w:val="4D570704"/>
    <w:rsid w:val="4D710D8B"/>
    <w:rsid w:val="4D756E85"/>
    <w:rsid w:val="4DB23DF2"/>
    <w:rsid w:val="4DC112FA"/>
    <w:rsid w:val="4DCB3F26"/>
    <w:rsid w:val="4DCB500F"/>
    <w:rsid w:val="4DD9269E"/>
    <w:rsid w:val="4DEC3479"/>
    <w:rsid w:val="4DF4569F"/>
    <w:rsid w:val="4E0D280B"/>
    <w:rsid w:val="4E143105"/>
    <w:rsid w:val="4E16389C"/>
    <w:rsid w:val="4E4F6905"/>
    <w:rsid w:val="4E6509DC"/>
    <w:rsid w:val="4E65437B"/>
    <w:rsid w:val="4EBB3F9B"/>
    <w:rsid w:val="4ED55176"/>
    <w:rsid w:val="4EFA642E"/>
    <w:rsid w:val="4F1617A8"/>
    <w:rsid w:val="4F193B65"/>
    <w:rsid w:val="4F2558B8"/>
    <w:rsid w:val="4F302BDB"/>
    <w:rsid w:val="4F3B50DC"/>
    <w:rsid w:val="4F6B0889"/>
    <w:rsid w:val="4F716D4F"/>
    <w:rsid w:val="4FCD042A"/>
    <w:rsid w:val="4FE90FDC"/>
    <w:rsid w:val="4FF04AF7"/>
    <w:rsid w:val="500278C3"/>
    <w:rsid w:val="500B0F52"/>
    <w:rsid w:val="50106568"/>
    <w:rsid w:val="50195A8C"/>
    <w:rsid w:val="502B5150"/>
    <w:rsid w:val="503F4CC2"/>
    <w:rsid w:val="507A1C34"/>
    <w:rsid w:val="50901789"/>
    <w:rsid w:val="50947199"/>
    <w:rsid w:val="509C28CA"/>
    <w:rsid w:val="50C335DB"/>
    <w:rsid w:val="50CB24ED"/>
    <w:rsid w:val="50F54A20"/>
    <w:rsid w:val="5100482F"/>
    <w:rsid w:val="51244BBC"/>
    <w:rsid w:val="512A365A"/>
    <w:rsid w:val="515B6DB3"/>
    <w:rsid w:val="51855CFC"/>
    <w:rsid w:val="519A07DF"/>
    <w:rsid w:val="51A27541"/>
    <w:rsid w:val="51DE30A7"/>
    <w:rsid w:val="51E15998"/>
    <w:rsid w:val="521045FE"/>
    <w:rsid w:val="521F0D79"/>
    <w:rsid w:val="523D0A75"/>
    <w:rsid w:val="524A341A"/>
    <w:rsid w:val="525B6EF0"/>
    <w:rsid w:val="526A6404"/>
    <w:rsid w:val="529C40E3"/>
    <w:rsid w:val="52B50EA5"/>
    <w:rsid w:val="52BE405A"/>
    <w:rsid w:val="52F418EC"/>
    <w:rsid w:val="52F4603B"/>
    <w:rsid w:val="52FE085B"/>
    <w:rsid w:val="5318135B"/>
    <w:rsid w:val="53181F32"/>
    <w:rsid w:val="5324751D"/>
    <w:rsid w:val="532E27E7"/>
    <w:rsid w:val="53364538"/>
    <w:rsid w:val="53386CF6"/>
    <w:rsid w:val="534B030D"/>
    <w:rsid w:val="53532306"/>
    <w:rsid w:val="538708F0"/>
    <w:rsid w:val="539C20B0"/>
    <w:rsid w:val="539D750B"/>
    <w:rsid w:val="53C41C6B"/>
    <w:rsid w:val="54090123"/>
    <w:rsid w:val="541D600D"/>
    <w:rsid w:val="54536C7E"/>
    <w:rsid w:val="5465252C"/>
    <w:rsid w:val="5475533D"/>
    <w:rsid w:val="547B5B45"/>
    <w:rsid w:val="5486504B"/>
    <w:rsid w:val="54871A27"/>
    <w:rsid w:val="54B84C91"/>
    <w:rsid w:val="54C87412"/>
    <w:rsid w:val="54E30FE8"/>
    <w:rsid w:val="54F226E1"/>
    <w:rsid w:val="54F479B0"/>
    <w:rsid w:val="54F53F16"/>
    <w:rsid w:val="55D5547B"/>
    <w:rsid w:val="55D942F0"/>
    <w:rsid w:val="55F6255F"/>
    <w:rsid w:val="56066443"/>
    <w:rsid w:val="56261524"/>
    <w:rsid w:val="562E47ED"/>
    <w:rsid w:val="56483F22"/>
    <w:rsid w:val="565B49B8"/>
    <w:rsid w:val="56735C19"/>
    <w:rsid w:val="56900687"/>
    <w:rsid w:val="56B34582"/>
    <w:rsid w:val="56D025AE"/>
    <w:rsid w:val="56D976B4"/>
    <w:rsid w:val="56F94023"/>
    <w:rsid w:val="570E7EFA"/>
    <w:rsid w:val="57405985"/>
    <w:rsid w:val="57507961"/>
    <w:rsid w:val="577675F9"/>
    <w:rsid w:val="57881CA5"/>
    <w:rsid w:val="580E0D8F"/>
    <w:rsid w:val="583A6878"/>
    <w:rsid w:val="583C03AA"/>
    <w:rsid w:val="583F3EDD"/>
    <w:rsid w:val="58694A68"/>
    <w:rsid w:val="587030BA"/>
    <w:rsid w:val="587467DE"/>
    <w:rsid w:val="58BC3A43"/>
    <w:rsid w:val="58DC7930"/>
    <w:rsid w:val="591363C6"/>
    <w:rsid w:val="5915699E"/>
    <w:rsid w:val="59664BEB"/>
    <w:rsid w:val="5967369D"/>
    <w:rsid w:val="59756DD2"/>
    <w:rsid w:val="59803BD7"/>
    <w:rsid w:val="599975DB"/>
    <w:rsid w:val="59AA292D"/>
    <w:rsid w:val="59B21B24"/>
    <w:rsid w:val="59D94A1E"/>
    <w:rsid w:val="5A0031AA"/>
    <w:rsid w:val="5A074538"/>
    <w:rsid w:val="5A3F1F24"/>
    <w:rsid w:val="5A56101C"/>
    <w:rsid w:val="5A6574B1"/>
    <w:rsid w:val="5A78546A"/>
    <w:rsid w:val="5A8A292F"/>
    <w:rsid w:val="5A982DB1"/>
    <w:rsid w:val="5AA0450D"/>
    <w:rsid w:val="5AA04C58"/>
    <w:rsid w:val="5AA61FA3"/>
    <w:rsid w:val="5B107D7C"/>
    <w:rsid w:val="5B3E042E"/>
    <w:rsid w:val="5B4D7081"/>
    <w:rsid w:val="5B591269"/>
    <w:rsid w:val="5B7E7C0D"/>
    <w:rsid w:val="5B9412CE"/>
    <w:rsid w:val="5BB30D43"/>
    <w:rsid w:val="5BEB3C2B"/>
    <w:rsid w:val="5BF80DC5"/>
    <w:rsid w:val="5C0A47B4"/>
    <w:rsid w:val="5C1B42CB"/>
    <w:rsid w:val="5C2E2250"/>
    <w:rsid w:val="5C2F421A"/>
    <w:rsid w:val="5C606182"/>
    <w:rsid w:val="5C79404F"/>
    <w:rsid w:val="5C8850C4"/>
    <w:rsid w:val="5C983C85"/>
    <w:rsid w:val="5CA648D1"/>
    <w:rsid w:val="5D186A5C"/>
    <w:rsid w:val="5D213B63"/>
    <w:rsid w:val="5D2F3DB7"/>
    <w:rsid w:val="5D4402B4"/>
    <w:rsid w:val="5D4C2D54"/>
    <w:rsid w:val="5D4D4B67"/>
    <w:rsid w:val="5D6F05E2"/>
    <w:rsid w:val="5D77354E"/>
    <w:rsid w:val="5DAD53F7"/>
    <w:rsid w:val="5DB16B79"/>
    <w:rsid w:val="5DB93D9B"/>
    <w:rsid w:val="5DD41114"/>
    <w:rsid w:val="5DDD2180"/>
    <w:rsid w:val="5DE84681"/>
    <w:rsid w:val="5DEA439C"/>
    <w:rsid w:val="5DF12B8B"/>
    <w:rsid w:val="5DFB0858"/>
    <w:rsid w:val="5E087CBF"/>
    <w:rsid w:val="5E0A2BC8"/>
    <w:rsid w:val="5E0B036F"/>
    <w:rsid w:val="5E23390B"/>
    <w:rsid w:val="5E32748A"/>
    <w:rsid w:val="5E5B0F1A"/>
    <w:rsid w:val="5E6F724E"/>
    <w:rsid w:val="5E800D5D"/>
    <w:rsid w:val="5EA90797"/>
    <w:rsid w:val="5EBF3633"/>
    <w:rsid w:val="5EC06026"/>
    <w:rsid w:val="5ECE13EF"/>
    <w:rsid w:val="5EDE3951"/>
    <w:rsid w:val="5F2D61C4"/>
    <w:rsid w:val="5F411581"/>
    <w:rsid w:val="5F555D46"/>
    <w:rsid w:val="5F645F89"/>
    <w:rsid w:val="5F884ABA"/>
    <w:rsid w:val="5FCB073A"/>
    <w:rsid w:val="5FDA121F"/>
    <w:rsid w:val="5FE87D87"/>
    <w:rsid w:val="60000D8E"/>
    <w:rsid w:val="602F2F28"/>
    <w:rsid w:val="60327588"/>
    <w:rsid w:val="604A32BB"/>
    <w:rsid w:val="60A144CE"/>
    <w:rsid w:val="60B1344C"/>
    <w:rsid w:val="613100ED"/>
    <w:rsid w:val="61311789"/>
    <w:rsid w:val="61614E76"/>
    <w:rsid w:val="616E601C"/>
    <w:rsid w:val="619E0691"/>
    <w:rsid w:val="61A3723C"/>
    <w:rsid w:val="61B8300B"/>
    <w:rsid w:val="61F77588"/>
    <w:rsid w:val="6202723B"/>
    <w:rsid w:val="62296A15"/>
    <w:rsid w:val="62484F81"/>
    <w:rsid w:val="62535326"/>
    <w:rsid w:val="625B18C5"/>
    <w:rsid w:val="625E7607"/>
    <w:rsid w:val="62C61CFE"/>
    <w:rsid w:val="62F1080E"/>
    <w:rsid w:val="633B5253"/>
    <w:rsid w:val="634B7B8C"/>
    <w:rsid w:val="63AC3918"/>
    <w:rsid w:val="63D86F45"/>
    <w:rsid w:val="63F22446"/>
    <w:rsid w:val="64331BD7"/>
    <w:rsid w:val="6445282D"/>
    <w:rsid w:val="64480AEA"/>
    <w:rsid w:val="6449399F"/>
    <w:rsid w:val="645326A6"/>
    <w:rsid w:val="64836EB1"/>
    <w:rsid w:val="64867B99"/>
    <w:rsid w:val="64B44E30"/>
    <w:rsid w:val="64B63036"/>
    <w:rsid w:val="64B86ACB"/>
    <w:rsid w:val="64EE4A79"/>
    <w:rsid w:val="64EF03CF"/>
    <w:rsid w:val="651771CA"/>
    <w:rsid w:val="651C422B"/>
    <w:rsid w:val="6525440C"/>
    <w:rsid w:val="652561BA"/>
    <w:rsid w:val="65586590"/>
    <w:rsid w:val="65755D38"/>
    <w:rsid w:val="6597172B"/>
    <w:rsid w:val="659D3FA3"/>
    <w:rsid w:val="65A1152A"/>
    <w:rsid w:val="65B512EC"/>
    <w:rsid w:val="65B75CD2"/>
    <w:rsid w:val="65BF1961"/>
    <w:rsid w:val="65E971E8"/>
    <w:rsid w:val="660A5ADC"/>
    <w:rsid w:val="66207001"/>
    <w:rsid w:val="664D21F0"/>
    <w:rsid w:val="66552ACF"/>
    <w:rsid w:val="666F1DE3"/>
    <w:rsid w:val="667365A1"/>
    <w:rsid w:val="66912F1A"/>
    <w:rsid w:val="66977869"/>
    <w:rsid w:val="66FF3DBA"/>
    <w:rsid w:val="670138ED"/>
    <w:rsid w:val="67074C6F"/>
    <w:rsid w:val="67256946"/>
    <w:rsid w:val="67515045"/>
    <w:rsid w:val="675F7726"/>
    <w:rsid w:val="677F6056"/>
    <w:rsid w:val="678D5B4F"/>
    <w:rsid w:val="67BD26DA"/>
    <w:rsid w:val="67BE346E"/>
    <w:rsid w:val="67D43B66"/>
    <w:rsid w:val="67EA067D"/>
    <w:rsid w:val="68394457"/>
    <w:rsid w:val="683C7AA3"/>
    <w:rsid w:val="684E1D02"/>
    <w:rsid w:val="68541AF0"/>
    <w:rsid w:val="685B4568"/>
    <w:rsid w:val="688B611E"/>
    <w:rsid w:val="688E5425"/>
    <w:rsid w:val="68983B76"/>
    <w:rsid w:val="68A41FC3"/>
    <w:rsid w:val="68B47F81"/>
    <w:rsid w:val="68B7181F"/>
    <w:rsid w:val="690E575F"/>
    <w:rsid w:val="691E2D99"/>
    <w:rsid w:val="69432F0E"/>
    <w:rsid w:val="69503AC4"/>
    <w:rsid w:val="69645B88"/>
    <w:rsid w:val="696A0B24"/>
    <w:rsid w:val="697B41FF"/>
    <w:rsid w:val="698D120B"/>
    <w:rsid w:val="69950B09"/>
    <w:rsid w:val="69A6711C"/>
    <w:rsid w:val="69AC7322"/>
    <w:rsid w:val="69B85169"/>
    <w:rsid w:val="69B940EB"/>
    <w:rsid w:val="69CA10DE"/>
    <w:rsid w:val="69E20B1E"/>
    <w:rsid w:val="69EF274E"/>
    <w:rsid w:val="6A036190"/>
    <w:rsid w:val="6A077D43"/>
    <w:rsid w:val="6A0B5E78"/>
    <w:rsid w:val="6A294057"/>
    <w:rsid w:val="6A452A79"/>
    <w:rsid w:val="6A5718E6"/>
    <w:rsid w:val="6AA408C3"/>
    <w:rsid w:val="6AAA6790"/>
    <w:rsid w:val="6AE14931"/>
    <w:rsid w:val="6AFE54E3"/>
    <w:rsid w:val="6B171907"/>
    <w:rsid w:val="6B182A49"/>
    <w:rsid w:val="6B560E85"/>
    <w:rsid w:val="6B64739A"/>
    <w:rsid w:val="6B666B54"/>
    <w:rsid w:val="6B770F66"/>
    <w:rsid w:val="6B8C0D41"/>
    <w:rsid w:val="6BA6510A"/>
    <w:rsid w:val="6BAD2C5B"/>
    <w:rsid w:val="6C04142F"/>
    <w:rsid w:val="6C5B45F5"/>
    <w:rsid w:val="6C9B7BBF"/>
    <w:rsid w:val="6CB630D3"/>
    <w:rsid w:val="6CBE317C"/>
    <w:rsid w:val="6CDD004B"/>
    <w:rsid w:val="6CDF121C"/>
    <w:rsid w:val="6CEA08A6"/>
    <w:rsid w:val="6CFF505B"/>
    <w:rsid w:val="6D0E7900"/>
    <w:rsid w:val="6D164EDA"/>
    <w:rsid w:val="6D481240"/>
    <w:rsid w:val="6D4C31C6"/>
    <w:rsid w:val="6D5D5560"/>
    <w:rsid w:val="6D716441"/>
    <w:rsid w:val="6DA74F0B"/>
    <w:rsid w:val="6DCF770B"/>
    <w:rsid w:val="6DD862CE"/>
    <w:rsid w:val="6DF009EC"/>
    <w:rsid w:val="6DF162FB"/>
    <w:rsid w:val="6E2263C9"/>
    <w:rsid w:val="6E26547D"/>
    <w:rsid w:val="6E2B5031"/>
    <w:rsid w:val="6E3B55CE"/>
    <w:rsid w:val="6E573EDF"/>
    <w:rsid w:val="6E764480"/>
    <w:rsid w:val="6E95615F"/>
    <w:rsid w:val="6E9854C5"/>
    <w:rsid w:val="6EA30643"/>
    <w:rsid w:val="6EAA61E1"/>
    <w:rsid w:val="6EAA776F"/>
    <w:rsid w:val="6EAF0AA4"/>
    <w:rsid w:val="6EBD17B1"/>
    <w:rsid w:val="6EC15901"/>
    <w:rsid w:val="6EE4021E"/>
    <w:rsid w:val="6EED415A"/>
    <w:rsid w:val="6F103A37"/>
    <w:rsid w:val="6F14777D"/>
    <w:rsid w:val="6F2F45E1"/>
    <w:rsid w:val="6F490CF7"/>
    <w:rsid w:val="6F6F2053"/>
    <w:rsid w:val="6FA04EC3"/>
    <w:rsid w:val="6FA6277F"/>
    <w:rsid w:val="6FC5679F"/>
    <w:rsid w:val="6FFF2D83"/>
    <w:rsid w:val="70001815"/>
    <w:rsid w:val="70174B59"/>
    <w:rsid w:val="702A28D7"/>
    <w:rsid w:val="70314C03"/>
    <w:rsid w:val="70671D7D"/>
    <w:rsid w:val="70857070"/>
    <w:rsid w:val="70BA1EAD"/>
    <w:rsid w:val="70DB6163"/>
    <w:rsid w:val="70E50F8E"/>
    <w:rsid w:val="70F25EF3"/>
    <w:rsid w:val="712346BC"/>
    <w:rsid w:val="717006B6"/>
    <w:rsid w:val="7179161A"/>
    <w:rsid w:val="7193525B"/>
    <w:rsid w:val="71952389"/>
    <w:rsid w:val="71D41BB2"/>
    <w:rsid w:val="71DD3467"/>
    <w:rsid w:val="7236374A"/>
    <w:rsid w:val="72545563"/>
    <w:rsid w:val="72575D91"/>
    <w:rsid w:val="72A2709C"/>
    <w:rsid w:val="72B33057"/>
    <w:rsid w:val="72B55021"/>
    <w:rsid w:val="72CD6775"/>
    <w:rsid w:val="72DB31DC"/>
    <w:rsid w:val="72E63993"/>
    <w:rsid w:val="72E97C2E"/>
    <w:rsid w:val="73115446"/>
    <w:rsid w:val="733454E7"/>
    <w:rsid w:val="733946CE"/>
    <w:rsid w:val="73886292"/>
    <w:rsid w:val="73A6496A"/>
    <w:rsid w:val="73AC5CFC"/>
    <w:rsid w:val="73BD5740"/>
    <w:rsid w:val="73E92DCE"/>
    <w:rsid w:val="73F26870"/>
    <w:rsid w:val="74193742"/>
    <w:rsid w:val="742D6E39"/>
    <w:rsid w:val="7434634A"/>
    <w:rsid w:val="74416441"/>
    <w:rsid w:val="74605F05"/>
    <w:rsid w:val="7464668D"/>
    <w:rsid w:val="74AE3AD6"/>
    <w:rsid w:val="74C8008A"/>
    <w:rsid w:val="74C96F20"/>
    <w:rsid w:val="7504213B"/>
    <w:rsid w:val="751935B4"/>
    <w:rsid w:val="752C512E"/>
    <w:rsid w:val="752E4C17"/>
    <w:rsid w:val="754414FE"/>
    <w:rsid w:val="75581C94"/>
    <w:rsid w:val="755D1340"/>
    <w:rsid w:val="757E794D"/>
    <w:rsid w:val="75812F99"/>
    <w:rsid w:val="758E7F20"/>
    <w:rsid w:val="75A0114B"/>
    <w:rsid w:val="75BE1BF6"/>
    <w:rsid w:val="76001D5F"/>
    <w:rsid w:val="760D7E21"/>
    <w:rsid w:val="761262E7"/>
    <w:rsid w:val="763E446C"/>
    <w:rsid w:val="764B35F9"/>
    <w:rsid w:val="764D74BB"/>
    <w:rsid w:val="766A178B"/>
    <w:rsid w:val="766E5C13"/>
    <w:rsid w:val="76704565"/>
    <w:rsid w:val="7675140A"/>
    <w:rsid w:val="76887F54"/>
    <w:rsid w:val="76B470B7"/>
    <w:rsid w:val="772A61C5"/>
    <w:rsid w:val="772E7150"/>
    <w:rsid w:val="773F11BD"/>
    <w:rsid w:val="7744499A"/>
    <w:rsid w:val="77560455"/>
    <w:rsid w:val="77970B70"/>
    <w:rsid w:val="779D5273"/>
    <w:rsid w:val="77C33D3D"/>
    <w:rsid w:val="77C62BDE"/>
    <w:rsid w:val="77E10B69"/>
    <w:rsid w:val="77E26D1E"/>
    <w:rsid w:val="77EA669B"/>
    <w:rsid w:val="77EE18D9"/>
    <w:rsid w:val="77F959B0"/>
    <w:rsid w:val="781D11A4"/>
    <w:rsid w:val="781E2D8E"/>
    <w:rsid w:val="784E74CE"/>
    <w:rsid w:val="785746AF"/>
    <w:rsid w:val="785B21C7"/>
    <w:rsid w:val="786466D0"/>
    <w:rsid w:val="788A485A"/>
    <w:rsid w:val="789A47EC"/>
    <w:rsid w:val="78D43D28"/>
    <w:rsid w:val="78EB0C9A"/>
    <w:rsid w:val="78F0435F"/>
    <w:rsid w:val="78F0721C"/>
    <w:rsid w:val="79102FB2"/>
    <w:rsid w:val="791210F7"/>
    <w:rsid w:val="793D1A38"/>
    <w:rsid w:val="797A1A09"/>
    <w:rsid w:val="797C38A0"/>
    <w:rsid w:val="798D1830"/>
    <w:rsid w:val="79AD40D0"/>
    <w:rsid w:val="79D60A88"/>
    <w:rsid w:val="7A131C17"/>
    <w:rsid w:val="7A4A0950"/>
    <w:rsid w:val="7A574C10"/>
    <w:rsid w:val="7A794B87"/>
    <w:rsid w:val="7A866488"/>
    <w:rsid w:val="7A971EF8"/>
    <w:rsid w:val="7AD86C5D"/>
    <w:rsid w:val="7B095F8D"/>
    <w:rsid w:val="7B3763C0"/>
    <w:rsid w:val="7B3D77FB"/>
    <w:rsid w:val="7B812DFB"/>
    <w:rsid w:val="7BA774D1"/>
    <w:rsid w:val="7BEF60F4"/>
    <w:rsid w:val="7BF2699E"/>
    <w:rsid w:val="7C302280"/>
    <w:rsid w:val="7C5F3B2B"/>
    <w:rsid w:val="7C6B49A3"/>
    <w:rsid w:val="7C8B0BA1"/>
    <w:rsid w:val="7C8E4159"/>
    <w:rsid w:val="7CC071B7"/>
    <w:rsid w:val="7CC320E9"/>
    <w:rsid w:val="7CF30F3C"/>
    <w:rsid w:val="7D63567A"/>
    <w:rsid w:val="7D96578D"/>
    <w:rsid w:val="7D966BF5"/>
    <w:rsid w:val="7D9D3115"/>
    <w:rsid w:val="7DA946B1"/>
    <w:rsid w:val="7DCA5AA3"/>
    <w:rsid w:val="7DDB16B4"/>
    <w:rsid w:val="7DF90CA0"/>
    <w:rsid w:val="7E2B263C"/>
    <w:rsid w:val="7E4E5774"/>
    <w:rsid w:val="7E807F12"/>
    <w:rsid w:val="7E830493"/>
    <w:rsid w:val="7E841750"/>
    <w:rsid w:val="7EB6125E"/>
    <w:rsid w:val="7EB9429C"/>
    <w:rsid w:val="7EC33B5B"/>
    <w:rsid w:val="7EDF6AC0"/>
    <w:rsid w:val="7EF56F77"/>
    <w:rsid w:val="7F073C75"/>
    <w:rsid w:val="7F385010"/>
    <w:rsid w:val="7F3D5A7B"/>
    <w:rsid w:val="7F423A73"/>
    <w:rsid w:val="7F492D2C"/>
    <w:rsid w:val="7F5042EC"/>
    <w:rsid w:val="7F572354"/>
    <w:rsid w:val="7F5C44BA"/>
    <w:rsid w:val="7F5E434B"/>
    <w:rsid w:val="7F631F14"/>
    <w:rsid w:val="7F64728F"/>
    <w:rsid w:val="7F82772D"/>
    <w:rsid w:val="7FAA1DAB"/>
    <w:rsid w:val="7FB729AC"/>
    <w:rsid w:val="7FC912CD"/>
    <w:rsid w:val="7FE02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99"/>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character" w:styleId="11">
    <w:name w:val="Strong"/>
    <w:basedOn w:val="10"/>
    <w:qFormat/>
    <w:uiPriority w:val="0"/>
    <w:rPr>
      <w:b/>
    </w:rPr>
  </w:style>
  <w:style w:type="paragraph" w:customStyle="1" w:styleId="12">
    <w:name w:val="p1"/>
    <w:basedOn w:val="1"/>
    <w:qFormat/>
    <w:uiPriority w:val="0"/>
    <w:pPr>
      <w:spacing w:beforeAutospacing="0" w:after="0" w:afterAutospacing="0"/>
      <w:ind w:left="0" w:right="0"/>
      <w:jc w:val="left"/>
    </w:pPr>
    <w:rPr>
      <w:rFonts w:ascii=".pingfang ui text sc" w:hAnsi=".pingfang ui text sc" w:eastAsia=".pingfang ui text sc" w:cs=".pingfang ui text sc"/>
      <w:color w:val="000000"/>
      <w:kern w:val="0"/>
      <w:sz w:val="22"/>
      <w:szCs w:val="22"/>
      <w:lang w:val="en-US" w:eastAsia="zh-CN" w:bidi="ar"/>
    </w:rPr>
  </w:style>
  <w:style w:type="character" w:customStyle="1" w:styleId="13">
    <w:name w:val="s1"/>
    <w:basedOn w:val="10"/>
    <w:qFormat/>
    <w:uiPriority w:val="0"/>
    <w:rPr>
      <w:rFonts w:ascii=".PingFangUITextSC-Regular" w:hAnsi=".PingFangUITextSC-Regular" w:eastAsia=".PingFangUITextSC-Regular" w:cs=".PingFangUITextSC-Regular"/>
      <w:sz w:val="22"/>
      <w:szCs w:val="22"/>
    </w:rPr>
  </w:style>
  <w:style w:type="character" w:customStyle="1" w:styleId="14">
    <w:name w:val="s2"/>
    <w:basedOn w:val="10"/>
    <w:qFormat/>
    <w:uiPriority w:val="0"/>
    <w:rPr>
      <w:rFonts w:ascii=".SFUI-Regular" w:hAnsi=".SFUI-Regular" w:eastAsia=".SFUI-Regular" w:cs=".SFUI-Regular"/>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6442</Words>
  <Characters>6500</Characters>
  <Lines>0</Lines>
  <Paragraphs>209</Paragraphs>
  <TotalTime>13</TotalTime>
  <ScaleCrop>false</ScaleCrop>
  <LinksUpToDate>false</LinksUpToDate>
  <CharactersWithSpaces>6605</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2023-09-29T18:36:00Z</dcterms:created>
  <dc:creator>ss</dc:creator>
  <cp:lastModifiedBy>赵劲松</cp:lastModifiedBy>
  <cp:lastPrinted>2023-09-30T02:18:00Z</cp:lastPrinted>
  <dcterms:modified xsi:type="dcterms:W3CDTF">2026-06-16T09:57:16Z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KSOTemplateDocerSaveRecord">
    <vt:lpwstr>eyJoZGlkIjoiM2VkMGM3MDZjNDNhNzE0MWZmN2VjN2ZjOTFmZjdmZjgiLCJ1c2VySWQiOiI0Mzk5ODExNzAifQ==</vt:lpwstr>
  </property>
  <property fmtid="{D5CDD505-2E9C-101B-9397-08002B2CF9AE}" pid="4" name="ICV">
    <vt:lpwstr>DFCB851B487F4847AA115F3E2776AA85_13</vt:lpwstr>
  </property>
</Properties>
</file>